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numbering.xml" ContentType="application/vnd.openxmlformats-officedocument.wordprocessingml.numbering+xml"/>
  <Override PartName="/word/footer1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19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0"/>
        <w:tblW w:w="1042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473"/>
        <w:gridCol w:w="3474"/>
        <w:gridCol w:w="3474"/>
      </w:tblGrid>
      <w:tr>
        <w:trPr/>
        <w:tc>
          <w:tcPr>
            <w:tcW w:w="3473" w:type="dxa"/>
            <w:tcBorders/>
          </w:tcPr>
          <w:p>
            <w:pPr>
              <w:pStyle w:val="ConsPlusNormal"/>
              <w:spacing w:lineRule="auto" w:line="276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4"/>
                <w:szCs w:val="24"/>
                <w:lang w:val="ru-RU" w:bidi="ar-SA"/>
              </w:rPr>
              <w:t>СОГЛАСОВАНО</w:t>
            </w:r>
          </w:p>
          <w:p>
            <w:pPr>
              <w:pStyle w:val="ConsPlusNormal"/>
              <w:spacing w:lineRule="auto" w:line="276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4"/>
                <w:szCs w:val="24"/>
                <w:lang w:val="ru-RU" w:bidi="ar-SA"/>
              </w:rPr>
              <w:t>Руководитель Отдела образования Администрации Селижаровского муниципального округа</w:t>
            </w:r>
          </w:p>
          <w:p>
            <w:pPr>
              <w:pStyle w:val="ConsPlusNormal"/>
              <w:spacing w:lineRule="auto" w:line="276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4"/>
                <w:szCs w:val="24"/>
                <w:lang w:val="ru-RU" w:bidi="ar-SA"/>
              </w:rPr>
              <w:t>Н.Н.Кожекина</w:t>
            </w:r>
          </w:p>
        </w:tc>
        <w:tc>
          <w:tcPr>
            <w:tcW w:w="3474" w:type="dxa"/>
            <w:tcBorders/>
          </w:tcPr>
          <w:p>
            <w:pPr>
              <w:pStyle w:val="ConsPlusNormal"/>
              <w:spacing w:lineRule="auto" w:line="276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4"/>
                <w:szCs w:val="24"/>
                <w:lang w:val="ru-RU" w:bidi="ar-SA"/>
              </w:rPr>
              <w:t>СОГЛАСОВАНО</w:t>
            </w:r>
          </w:p>
          <w:p>
            <w:pPr>
              <w:pStyle w:val="ConsPlusNormal"/>
              <w:spacing w:lineRule="auto" w:line="276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4"/>
                <w:szCs w:val="24"/>
                <w:lang w:val="ru-RU" w:bidi="ar-SA"/>
              </w:rPr>
              <w:t>Совет школы</w:t>
            </w:r>
          </w:p>
          <w:p>
            <w:pPr>
              <w:pStyle w:val="ConsPlusNormal"/>
              <w:spacing w:lineRule="auto" w:line="276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4"/>
                <w:szCs w:val="24"/>
                <w:lang w:val="ru-RU" w:bidi="ar-SA"/>
              </w:rPr>
              <w:t>Протокол №  от</w:t>
            </w:r>
          </w:p>
        </w:tc>
        <w:tc>
          <w:tcPr>
            <w:tcW w:w="3474" w:type="dxa"/>
            <w:tcBorders/>
          </w:tcPr>
          <w:p>
            <w:pPr>
              <w:pStyle w:val="ConsPlusNormal"/>
              <w:spacing w:lineRule="auto" w:line="276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4"/>
                <w:szCs w:val="24"/>
                <w:lang w:val="ru-RU" w:bidi="ar-SA"/>
              </w:rPr>
              <w:t>УТВЕРЖДЕНО</w:t>
            </w:r>
          </w:p>
          <w:p>
            <w:pPr>
              <w:pStyle w:val="ConsPlusNormal"/>
              <w:spacing w:lineRule="auto" w:line="276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4"/>
                <w:szCs w:val="24"/>
                <w:lang w:val="ru-RU" w:bidi="ar-SA"/>
              </w:rPr>
              <w:t>Директор МОУ Максимковской ООШ</w:t>
            </w:r>
          </w:p>
          <w:p>
            <w:pPr>
              <w:pStyle w:val="ConsPlusNormal"/>
              <w:spacing w:lineRule="auto" w:line="276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4"/>
                <w:szCs w:val="24"/>
                <w:lang w:val="ru-RU" w:bidi="ar-SA"/>
              </w:rPr>
              <w:t>Е.М.Смирнова</w:t>
            </w:r>
          </w:p>
          <w:p>
            <w:pPr>
              <w:pStyle w:val="ConsPlusNormal"/>
              <w:spacing w:lineRule="auto" w:line="276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4"/>
                <w:szCs w:val="24"/>
                <w:lang w:val="ru-RU" w:bidi="ar-SA"/>
              </w:rPr>
            </w:r>
          </w:p>
          <w:p>
            <w:pPr>
              <w:pStyle w:val="ConsPlusNormal"/>
              <w:spacing w:lineRule="auto" w:line="276" w:before="0"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4"/>
                <w:szCs w:val="24"/>
                <w:lang w:val="ru-RU" w:bidi="ar-SA"/>
              </w:rPr>
              <w:t xml:space="preserve">Приказ №      от       </w:t>
            </w:r>
          </w:p>
        </w:tc>
      </w:tr>
    </w:tbl>
    <w:p>
      <w:pPr>
        <w:pStyle w:val="ConsPlusNormal"/>
        <w:spacing w:lineRule="auto" w:line="276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ConsPlusNormal"/>
        <w:spacing w:lineRule="auto" w:line="276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ListParagraph"/>
        <w:widowControl w:val="false"/>
        <w:snapToGrid w:val="false"/>
        <w:spacing w:lineRule="auto" w:line="240" w:before="0" w:after="0"/>
        <w:ind w:firstLine="709" w:left="0"/>
        <w:contextualSpacing w:val="false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ListParagraph"/>
        <w:widowControl w:val="false"/>
        <w:snapToGrid w:val="false"/>
        <w:spacing w:lineRule="auto" w:line="240" w:before="0" w:after="0"/>
        <w:ind w:firstLine="709" w:left="0"/>
        <w:contextualSpacing w:val="false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ListParagraph"/>
        <w:widowControl w:val="false"/>
        <w:snapToGrid w:val="false"/>
        <w:spacing w:lineRule="auto" w:line="240" w:before="0" w:after="0"/>
        <w:ind w:firstLine="709" w:left="0"/>
        <w:contextualSpacing w:val="false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ListParagraph"/>
        <w:widowControl w:val="false"/>
        <w:snapToGrid w:val="false"/>
        <w:spacing w:lineRule="auto" w:line="240" w:before="0" w:after="0"/>
        <w:ind w:firstLine="709" w:left="0"/>
        <w:contextualSpacing w:val="false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ListParagraph"/>
        <w:widowControl w:val="false"/>
        <w:snapToGrid w:val="false"/>
        <w:spacing w:lineRule="auto" w:line="240" w:before="0" w:after="0"/>
        <w:ind w:firstLine="709" w:left="0"/>
        <w:contextualSpacing w:val="false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ListParagraph"/>
        <w:widowControl w:val="false"/>
        <w:snapToGrid w:val="false"/>
        <w:spacing w:lineRule="auto" w:line="240" w:before="0" w:after="0"/>
        <w:ind w:firstLine="709" w:left="0"/>
        <w:contextualSpacing w:val="false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ListParagraph"/>
        <w:widowControl w:val="false"/>
        <w:snapToGrid w:val="false"/>
        <w:spacing w:lineRule="auto" w:line="240" w:before="0" w:after="0"/>
        <w:ind w:firstLine="709" w:left="0"/>
        <w:contextualSpacing w:val="false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ListParagraph"/>
        <w:widowControl w:val="false"/>
        <w:snapToGrid w:val="false"/>
        <w:spacing w:lineRule="auto" w:line="240" w:before="0" w:after="0"/>
        <w:ind w:firstLine="709" w:left="0"/>
        <w:contextualSpacing w:val="false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cs="Times New Roman" w:ascii="Times New Roman" w:hAnsi="Times New Roman"/>
          <w:b/>
          <w:sz w:val="36"/>
          <w:szCs w:val="28"/>
        </w:rPr>
      </w:r>
    </w:p>
    <w:p>
      <w:pPr>
        <w:pStyle w:val="ListParagraph"/>
        <w:widowControl w:val="false"/>
        <w:snapToGrid w:val="false"/>
        <w:spacing w:lineRule="auto" w:line="240" w:before="0" w:after="0"/>
        <w:ind w:firstLine="709" w:left="0"/>
        <w:contextualSpacing w:val="false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cs="Times New Roman" w:ascii="Times New Roman" w:hAnsi="Times New Roman"/>
          <w:b/>
          <w:sz w:val="36"/>
          <w:szCs w:val="28"/>
        </w:rPr>
        <w:t>ПРОГРАММЫ РАЗВИТИЯ</w:t>
      </w:r>
    </w:p>
    <w:p>
      <w:pPr>
        <w:pStyle w:val="ConsPlusNormal"/>
        <w:spacing w:lineRule="auto" w:line="276"/>
        <w:ind w:firstLine="567"/>
        <w:jc w:val="center"/>
        <w:rPr>
          <w:rFonts w:ascii="Times New Roman" w:hAnsi="Times New Roman" w:cs="Times New Roman"/>
          <w:bCs/>
          <w:sz w:val="36"/>
          <w:szCs w:val="28"/>
        </w:rPr>
      </w:pPr>
      <w:r>
        <w:rPr>
          <w:rFonts w:cs="Times New Roman" w:ascii="Times New Roman" w:hAnsi="Times New Roman"/>
          <w:bCs/>
          <w:sz w:val="36"/>
          <w:szCs w:val="28"/>
        </w:rPr>
        <w:t xml:space="preserve">муниципального общеобразовательного учреждения Максимковской основной общеобразовательной школы Селижаровского муниципального округа </w:t>
      </w:r>
    </w:p>
    <w:p>
      <w:pPr>
        <w:pStyle w:val="ConsPlusNormal"/>
        <w:spacing w:lineRule="auto" w:line="276"/>
        <w:ind w:firstLine="567"/>
        <w:jc w:val="center"/>
        <w:rPr>
          <w:rFonts w:ascii="Times New Roman" w:hAnsi="Times New Roman" w:cs="Times New Roman"/>
          <w:bCs/>
          <w:sz w:val="36"/>
          <w:szCs w:val="28"/>
        </w:rPr>
      </w:pPr>
      <w:r>
        <w:rPr>
          <w:rFonts w:cs="Times New Roman" w:ascii="Times New Roman" w:hAnsi="Times New Roman"/>
          <w:bCs/>
          <w:sz w:val="36"/>
          <w:szCs w:val="28"/>
        </w:rPr>
        <w:t>Тверской  области - участника проекта «Школа Минпросвещения России» на 2024-2029 годы</w:t>
      </w:r>
    </w:p>
    <w:p>
      <w:pPr>
        <w:pStyle w:val="ListParagraph"/>
        <w:widowControl w:val="false"/>
        <w:snapToGrid w:val="false"/>
        <w:spacing w:lineRule="auto" w:line="240" w:before="0" w:after="0"/>
        <w:ind w:firstLine="709" w:left="0"/>
        <w:contextualSpacing w:val="false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sectPr>
          <w:footerReference w:type="even" r:id="rId2"/>
          <w:footerReference w:type="default" r:id="rId3"/>
          <w:footerReference w:type="first" r:id="rId4"/>
          <w:type w:val="nextPage"/>
          <w:pgSz w:w="11906" w:h="16838"/>
          <w:pgMar w:left="1134" w:right="567" w:gutter="0" w:header="0" w:top="851" w:footer="708" w:bottom="851"/>
          <w:pgNumType w:fmt="decimal"/>
          <w:formProt w:val="false"/>
          <w:textDirection w:val="lrTb"/>
          <w:docGrid w:type="default" w:linePitch="100" w:charSpace="0"/>
        </w:sectPr>
        <w:pStyle w:val="ListParagraph"/>
        <w:widowControl w:val="false"/>
        <w:snapToGrid w:val="false"/>
        <w:spacing w:lineRule="auto" w:line="240" w:before="0" w:after="0"/>
        <w:ind w:firstLine="709" w:left="0"/>
        <w:contextualSpacing w:val="fals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ListParagraph"/>
        <w:widowControl w:val="false"/>
        <w:numPr>
          <w:ilvl w:val="0"/>
          <w:numId w:val="16"/>
        </w:numPr>
        <w:spacing w:lineRule="auto" w:line="276" w:before="0" w:after="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Паспорт Программы развития</w:t>
      </w:r>
    </w:p>
    <w:p>
      <w:pPr>
        <w:pStyle w:val="Normal"/>
        <w:widowControl w:val="false"/>
        <w:spacing w:lineRule="auto" w:line="276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f0"/>
        <w:tblW w:w="5000" w:type="pct"/>
        <w:jc w:val="left"/>
        <w:tblInd w:w="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312"/>
        <w:gridCol w:w="6892"/>
      </w:tblGrid>
      <w:tr>
        <w:trPr>
          <w:trHeight w:val="20" w:hRule="atLeast"/>
        </w:trPr>
        <w:tc>
          <w:tcPr>
            <w:tcW w:w="3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Наименование</w:t>
            </w:r>
          </w:p>
        </w:tc>
        <w:tc>
          <w:tcPr>
            <w:tcW w:w="68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Содержание</w:t>
            </w:r>
          </w:p>
        </w:tc>
      </w:tr>
      <w:tr>
        <w:trPr>
          <w:trHeight w:val="20" w:hRule="atLeast"/>
        </w:trPr>
        <w:tc>
          <w:tcPr>
            <w:tcW w:w="33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Полное наименование ОО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Муниципальное общеобразовательное учреждение Максимковская основная общеобразовательная школа</w:t>
            </w:r>
          </w:p>
        </w:tc>
      </w:tr>
      <w:tr>
        <w:trPr>
          <w:trHeight w:val="20" w:hRule="atLeast"/>
        </w:trPr>
        <w:tc>
          <w:tcPr>
            <w:tcW w:w="33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Документы, послужившие основанием для разработки Программы развития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Перечень нормативных правовых актов федерального, регионального, муниципального уровней, локальных нормативных актов ОО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val="clear" w:pos="708"/>
                <w:tab w:val="left" w:pos="590" w:leader="none"/>
              </w:tabs>
              <w:spacing w:lineRule="auto" w:line="238" w:before="0" w:after="0"/>
              <w:ind w:hanging="0" w:left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val="ru-RU" w:eastAsia="en-US" w:bidi="ar-SA"/>
              </w:rPr>
              <w:t>Федеральный закон «Об образовании в Российской Федерации» от 29.12.2012 №</w:t>
            </w:r>
            <w:r>
              <w:rPr>
                <w:spacing w:val="-6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>273-ФЗ.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val="clear" w:pos="708"/>
                <w:tab w:val="left" w:pos="441" w:leader="none"/>
              </w:tabs>
              <w:spacing w:lineRule="exact" w:line="275" w:before="0" w:after="0"/>
              <w:ind w:hanging="0" w:left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val="ru-RU" w:eastAsia="en-US" w:bidi="ar-SA"/>
              </w:rPr>
              <w:t>Федеральный проект «Цифровая образовательная среда»</w:t>
            </w:r>
            <w:r>
              <w:rPr>
                <w:spacing w:val="26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>(п.</w:t>
            </w:r>
          </w:p>
          <w:p>
            <w:pPr>
              <w:pStyle w:val="TableParagraph"/>
              <w:spacing w:before="0" w:after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val="ru-RU" w:eastAsia="en-US" w:bidi="ar-SA"/>
              </w:rPr>
              <w:t>4.4 паспорта национального проекта «Образование», утв. президиумом Совета при Президенте РФ по стратегическому развитию и национальным проектам, протокол от 24.12.2018 № 16).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clear" w:pos="708"/>
                <w:tab w:val="left" w:pos="403" w:leader="none"/>
              </w:tabs>
              <w:spacing w:before="0" w:after="0"/>
              <w:ind w:hanging="0" w:left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val="ru-RU" w:eastAsia="en-US" w:bidi="ar-SA"/>
              </w:rPr>
              <w:t>Стратегии развития информационного общества в Российской Федерации на 2017 - 2030 годы, утвержденная указом Президента РФ от 9 мая 2017 №</w:t>
            </w:r>
            <w:r>
              <w:rPr>
                <w:spacing w:val="-9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>203.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clear" w:pos="708"/>
                <w:tab w:val="left" w:pos="403" w:leader="none"/>
              </w:tabs>
              <w:spacing w:before="0" w:after="0"/>
              <w:ind w:hanging="0" w:left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val="ru-RU" w:eastAsia="en-US" w:bidi="ar-SA"/>
              </w:rPr>
              <w:t>Распоряжение Минпросвещения России от 17.12.2019 №</w:t>
            </w:r>
            <w:r>
              <w:rPr>
                <w:spacing w:val="-15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>Р</w:t>
            </w:r>
          </w:p>
          <w:p>
            <w:pPr>
              <w:pStyle w:val="TableParagraph"/>
              <w:tabs>
                <w:tab w:val="clear" w:pos="708"/>
                <w:tab w:val="left" w:pos="441" w:leader="none"/>
              </w:tabs>
              <w:spacing w:lineRule="exact" w:line="275" w:before="0" w:after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val="ru-RU" w:eastAsia="en-US" w:bidi="ar-SA"/>
              </w:rPr>
              <w:t xml:space="preserve">135«Об утверждении методических рекомендаций по приобретению средств обучения и воспитания для обновления материально- технической базы общеобразовательных организаций и профессиональных образовательных организаций в целях внедрения целевой модели цифровой образовательной среды в рамках региональных проектов, обеспечивающих достижение целей,     показателей     и     результата     федерального  </w:t>
            </w:r>
            <w:r>
              <w:rPr>
                <w:spacing w:val="49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>проекта «Цифровая образовательная</w:t>
              <w:tab/>
              <w:t>среда»</w:t>
            </w:r>
          </w:p>
          <w:p>
            <w:pPr>
              <w:pStyle w:val="TableParagraph"/>
              <w:tabs>
                <w:tab w:val="clear" w:pos="708"/>
                <w:tab w:val="left" w:pos="441" w:leader="none"/>
              </w:tabs>
              <w:spacing w:lineRule="exact" w:line="275" w:before="0" w:after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val="ru-RU" w:eastAsia="en-US" w:bidi="ar-SA"/>
              </w:rPr>
              <w:t>национального проекта «Образование»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clear" w:pos="708"/>
                <w:tab w:val="left" w:pos="403" w:leader="none"/>
              </w:tabs>
              <w:spacing w:lineRule="auto" w:line="238" w:before="0" w:after="0"/>
              <w:ind w:hanging="0" w:left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val="ru-RU" w:eastAsia="en-US" w:bidi="ar-SA"/>
              </w:rPr>
              <w:t>Концепция общенациональной системы выявления и развития молодых талантов, утвержденная Президентом РФ 3 апреля</w:t>
            </w:r>
            <w:r>
              <w:rPr>
                <w:spacing w:val="47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>2012</w:t>
            </w:r>
          </w:p>
          <w:p>
            <w:pPr>
              <w:pStyle w:val="TableParagraph"/>
              <w:tabs>
                <w:tab w:val="clear" w:pos="708"/>
                <w:tab w:val="left" w:pos="1943" w:leader="none"/>
              </w:tabs>
              <w:spacing w:lineRule="exact" w:line="275" w:before="0" w:after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val="ru-RU" w:eastAsia="en-US" w:bidi="ar-SA"/>
              </w:rPr>
              <w:t xml:space="preserve">№ 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>Пр-827.</w:t>
              <w:tab/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clear" w:pos="708"/>
                <w:tab w:val="left" w:pos="456" w:leader="none"/>
              </w:tabs>
              <w:spacing w:lineRule="auto" w:line="242" w:before="0" w:after="0"/>
              <w:ind w:hanging="0" w:left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val="ru-RU" w:eastAsia="en-US" w:bidi="ar-SA"/>
              </w:rPr>
              <w:t xml:space="preserve">Основы государственной молодежной политики </w:t>
            </w:r>
            <w:r>
              <w:rPr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до 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>2025 года, утвержденные распоряжением Правительства РФ от</w:t>
            </w:r>
            <w:r>
              <w:rPr>
                <w:spacing w:val="-6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>29.11.2014</w:t>
            </w:r>
          </w:p>
          <w:p>
            <w:pPr>
              <w:pStyle w:val="TableParagraph"/>
              <w:spacing w:lineRule="exact" w:line="271" w:before="0" w:after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val="ru-RU" w:eastAsia="en-US" w:bidi="ar-SA"/>
              </w:rPr>
              <w:t xml:space="preserve">№ 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>2403-р.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clear" w:pos="708"/>
                <w:tab w:val="left" w:pos="388" w:leader="none"/>
              </w:tabs>
              <w:spacing w:lineRule="exact" w:line="275" w:before="0" w:after="0"/>
              <w:ind w:hanging="0" w:left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val="ru-RU" w:eastAsia="en-US" w:bidi="ar-SA"/>
              </w:rPr>
              <w:t xml:space="preserve">7.   Распоряжение Минпросвещения России от </w:t>
            </w:r>
            <w:r>
              <w:rPr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21 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>июня .2021 №</w:t>
            </w:r>
            <w:r>
              <w:rPr>
                <w:spacing w:val="3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spacing w:val="5"/>
                <w:kern w:val="0"/>
                <w:sz w:val="24"/>
                <w:szCs w:val="22"/>
                <w:lang w:val="ru-RU" w:eastAsia="en-US" w:bidi="ar-SA"/>
              </w:rPr>
              <w:t>Р-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>126 «Об утверждении ведомственной целевой программы "Развитие дополнительного образования детей, выявление и поддержка лиц, проявивших выдающиеся 4 способности"».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clear" w:pos="708"/>
                <w:tab w:val="left" w:pos="513" w:leader="none"/>
              </w:tabs>
              <w:spacing w:before="0" w:after="0"/>
              <w:ind w:hanging="0" w:left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val="ru-RU" w:eastAsia="en-US" w:bidi="ar-SA"/>
              </w:rPr>
              <w:t>Концепция развития дополнительного образования детей в РФ, утвержденная распоряжением Правительства РФ от 4 сентября 2014 №</w:t>
            </w:r>
            <w:r>
              <w:rPr>
                <w:spacing w:val="6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>1726-р.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clear" w:pos="708"/>
                <w:tab w:val="left" w:pos="407" w:leader="none"/>
              </w:tabs>
              <w:spacing w:lineRule="auto" w:line="242" w:before="0" w:after="0"/>
              <w:ind w:hanging="0" w:left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val="ru-RU" w:eastAsia="en-US" w:bidi="ar-SA"/>
              </w:rPr>
              <w:t xml:space="preserve">Стратегия развития воспитания в РФ на период </w:t>
            </w:r>
            <w:r>
              <w:rPr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до 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>2025 года, утвержденная распоряжением Правительства РФ от 29 мая</w:t>
            </w:r>
            <w:r>
              <w:rPr>
                <w:spacing w:val="3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>2015</w:t>
            </w:r>
          </w:p>
          <w:p>
            <w:pPr>
              <w:pStyle w:val="TableParagraph"/>
              <w:spacing w:lineRule="exact" w:line="271" w:before="0" w:after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val="ru-RU" w:eastAsia="en-US" w:bidi="ar-SA"/>
              </w:rPr>
              <w:t xml:space="preserve">№ 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>996-р.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clear" w:pos="708"/>
                <w:tab w:val="left" w:pos="585" w:leader="none"/>
              </w:tabs>
              <w:spacing w:before="0" w:after="0"/>
              <w:ind w:hanging="0" w:left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val="ru-RU" w:eastAsia="en-US" w:bidi="ar-SA"/>
              </w:rPr>
              <w:t xml:space="preserve">Приказ Минпросвещения России от 31 мая 2021 № 286 </w:t>
            </w:r>
            <w:r>
              <w:rPr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«Об 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>утверждении федерального государственного образовательного стандарта начального общего образования»</w:t>
            </w:r>
            <w:r>
              <w:rPr>
                <w:spacing w:val="-5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>(ФГОС-2021).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clear" w:pos="708"/>
                <w:tab w:val="left" w:pos="585" w:leader="none"/>
              </w:tabs>
              <w:spacing w:before="0" w:after="0"/>
              <w:ind w:hanging="0" w:left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val="ru-RU" w:eastAsia="en-US" w:bidi="ar-SA"/>
              </w:rPr>
              <w:t xml:space="preserve">Приказ Минпросвещения России от 31 мая 2021 № 287 </w:t>
            </w:r>
            <w:r>
              <w:rPr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«Об 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>утверждении федерального государственного образовательного стандарта основного общего образования»</w:t>
            </w:r>
            <w:r>
              <w:rPr>
                <w:spacing w:val="-6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>(ФГОС-2021).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val="clear" w:pos="708"/>
                <w:tab w:val="left" w:pos="590" w:leader="none"/>
              </w:tabs>
              <w:spacing w:before="0" w:after="0"/>
              <w:ind w:hanging="0" w:left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val="ru-RU" w:eastAsia="en-US" w:bidi="ar-SA"/>
              </w:rPr>
              <w:t xml:space="preserve">Приказ Минобрнауки России от 6 октября 2009 № 373 </w:t>
            </w:r>
            <w:r>
              <w:rPr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«Об 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>утверждении и введении в действие федерального государственного образовательного стандарта начального общего</w:t>
            </w:r>
            <w:r>
              <w:rPr>
                <w:spacing w:val="-4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>образования».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val="clear" w:pos="708"/>
                <w:tab w:val="left" w:pos="585" w:leader="none"/>
              </w:tabs>
              <w:spacing w:before="0" w:after="0"/>
              <w:ind w:hanging="0" w:left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val="ru-RU" w:eastAsia="en-US" w:bidi="ar-SA"/>
              </w:rPr>
              <w:t xml:space="preserve">Приказ Минобрнауки России от 17.12.2010 № 1897 </w:t>
            </w:r>
            <w:r>
              <w:rPr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«Об 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>утверждении федерального государственного образовательного стандарта основного общего</w:t>
            </w:r>
            <w:r>
              <w:rPr>
                <w:spacing w:val="-1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>образования»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val="clear" w:pos="708"/>
                <w:tab w:val="left" w:pos="624" w:leader="none"/>
              </w:tabs>
              <w:spacing w:before="0" w:after="0"/>
              <w:ind w:hanging="0" w:left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val="ru-RU" w:eastAsia="en-US" w:bidi="ar-SA"/>
              </w:rPr>
              <w:t xml:space="preserve">Приказ Минобрнауки России от 17 мая 2012 № 413 </w:t>
            </w:r>
            <w:r>
              <w:rPr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«Об 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>утверждении федерального государственного образовательного стандарта среднего общего</w:t>
            </w:r>
            <w:r>
              <w:rPr>
                <w:spacing w:val="-2"/>
                <w:kern w:val="0"/>
                <w:sz w:val="24"/>
                <w:szCs w:val="22"/>
                <w:lang w:val="ru-RU"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>образования».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val="clear" w:pos="708"/>
                <w:tab w:val="left" w:pos="624" w:leader="none"/>
              </w:tabs>
              <w:spacing w:before="0" w:after="0"/>
              <w:ind w:hanging="0" w:left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val="ru-RU" w:eastAsia="en-US" w:bidi="ar-SA"/>
              </w:rPr>
              <w:t>Письмо Минпросвещения России от 11 мая 2021 № СК1123/07</w:t>
            </w:r>
          </w:p>
        </w:tc>
      </w:tr>
      <w:tr>
        <w:trPr>
          <w:trHeight w:val="20" w:hRule="atLeast"/>
        </w:trPr>
        <w:tc>
          <w:tcPr>
            <w:tcW w:w="33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Цель 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pBdr/>
              <w:spacing w:lineRule="auto" w:line="276" w:before="0" w:after="0"/>
              <w:ind w:hanging="0" w:left="0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создание единого образовательного пространства,       адаптированного к индивидуальным особенностям школьников;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pBdr/>
              <w:spacing w:lineRule="auto" w:line="276" w:before="0" w:after="0"/>
              <w:ind w:hanging="0" w:left="0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создание условий развития школы в целом путём введения в образовательный процесс активных методик обучения и воспитания; 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pBdr/>
              <w:spacing w:lineRule="auto" w:line="276" w:before="0" w:after="0"/>
              <w:ind w:hanging="0" w:left="0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создание условий для максимального раскрытия творческого потенциала учителя; 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pBdr/>
              <w:spacing w:lineRule="auto" w:line="276" w:before="0" w:after="0"/>
              <w:ind w:hanging="0" w:left="0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создание комфортных условий для развития личности ребёнка;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pBdr/>
              <w:spacing w:lineRule="auto" w:line="276" w:before="0" w:after="0"/>
              <w:ind w:hanging="0" w:left="0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повышение конкурентных преимуществ школы как образовательной организации, ориентированной на создание условий для формирования успешной личности ученика;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pBdr/>
              <w:spacing w:lineRule="auto" w:line="276" w:before="0" w:after="0"/>
              <w:ind w:hanging="0" w:left="0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цифровизация образовательной деятельности;</w:t>
            </w:r>
          </w:p>
          <w:p>
            <w:pPr>
              <w:pStyle w:val="ListParagraph"/>
              <w:widowControl w:val="false"/>
              <w:numPr>
                <w:ilvl w:val="0"/>
                <w:numId w:val="9"/>
              </w:numPr>
              <w:pBdr/>
              <w:spacing w:lineRule="auto" w:line="276" w:before="0" w:after="0"/>
              <w:ind w:hanging="0" w:left="0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развитие дополнительного образования детей, выявление и поддержка лиц, проявивших выдающиеся способности.</w:t>
            </w:r>
          </w:p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Соответственно, планируемое развитие школы должно быть двусторонним процессом, обеспечивающим, наряду с образованием и воспитанием обучающихся, непрерывное повышение квалификации ведущих данную деятельность педагогов.</w:t>
            </w:r>
          </w:p>
        </w:tc>
      </w:tr>
      <w:tr>
        <w:trPr>
          <w:trHeight w:val="20" w:hRule="atLeast"/>
        </w:trPr>
        <w:tc>
          <w:tcPr>
            <w:tcW w:w="33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Комплексные задачи Программы развития 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ListParagraph"/>
              <w:widowControl/>
              <w:numPr>
                <w:ilvl w:val="1"/>
                <w:numId w:val="11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Обучение по ООП, разработанным по ФГОС-2021, с 01.09.2022.</w:t>
            </w:r>
          </w:p>
          <w:p>
            <w:pPr>
              <w:pStyle w:val="ListParagraph"/>
              <w:widowControl/>
              <w:numPr>
                <w:ilvl w:val="1"/>
                <w:numId w:val="11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Расширение образовательных возможностей для учащихся через многопрофильность и вариативность образовательных программ общего и дополнительного образования.</w:t>
            </w:r>
          </w:p>
          <w:p>
            <w:pPr>
              <w:pStyle w:val="ListParagraph"/>
              <w:widowControl/>
              <w:numPr>
                <w:ilvl w:val="1"/>
                <w:numId w:val="11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Создание системы сетевого взаимодействия со спортивными организациями, организациями сферы культуры, чтобы расширить перечень предлагаемых услуг и повысить качество уже оказываемых, помочь учащимся в выборе будущей специальности, подготовке к поступлению в вуз.</w:t>
            </w:r>
          </w:p>
          <w:p>
            <w:pPr>
              <w:pStyle w:val="ListParagraph"/>
              <w:widowControl/>
              <w:numPr>
                <w:ilvl w:val="1"/>
                <w:numId w:val="11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Построение учебной и воспитательной деятельности с учетом индивидуальных возрастных психологических и физиологических особенностей учащихся с ориентацией на результаты образования.</w:t>
            </w:r>
          </w:p>
          <w:p>
            <w:pPr>
              <w:pStyle w:val="ListParagraph"/>
              <w:widowControl/>
              <w:numPr>
                <w:ilvl w:val="1"/>
                <w:numId w:val="11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Повышение воспитательного потенциала образовательного процесса, создание условий для социализации и самореализации детей.</w:t>
            </w:r>
          </w:p>
          <w:p>
            <w:pPr>
              <w:pStyle w:val="ListParagraph"/>
              <w:widowControl/>
              <w:numPr>
                <w:ilvl w:val="1"/>
                <w:numId w:val="11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Освоение учащимися российских традиционных ценностей, нравственных норм и правил поведения, приобщение к культурному наследию России, духовно – нравственным ценностям российского народа</w:t>
            </w:r>
          </w:p>
          <w:p>
            <w:pPr>
              <w:pStyle w:val="ListParagraph"/>
              <w:widowControl/>
              <w:numPr>
                <w:ilvl w:val="1"/>
                <w:numId w:val="11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Повышения безопасности в организации в отношении детей и работников, посетителей.</w:t>
            </w:r>
          </w:p>
          <w:p>
            <w:pPr>
              <w:pStyle w:val="ListParagraph"/>
              <w:widowControl/>
              <w:numPr>
                <w:ilvl w:val="1"/>
                <w:numId w:val="11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Создание информационно – методического пространства, способствующего совершенствованию профессионального мастерства педагогов в условиях работы ФГОС.</w:t>
            </w:r>
          </w:p>
          <w:p>
            <w:pPr>
              <w:pStyle w:val="ListParagraph"/>
              <w:widowControl/>
              <w:numPr>
                <w:ilvl w:val="1"/>
                <w:numId w:val="11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Повышение материально – технической базы и развитие инфраструктуры школьного образования.</w:t>
            </w:r>
          </w:p>
          <w:p>
            <w:pPr>
              <w:pStyle w:val="ListParagraph"/>
              <w:widowControl/>
              <w:numPr>
                <w:ilvl w:val="1"/>
                <w:numId w:val="11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Создание условий для сохранения психического здоровья учащихся через повышение адаптивных возможностей личности.</w:t>
            </w:r>
          </w:p>
          <w:p>
            <w:pPr>
              <w:pStyle w:val="ListParagraph"/>
              <w:widowControl/>
              <w:numPr>
                <w:ilvl w:val="1"/>
                <w:numId w:val="11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Обеспечение системного сотрудничества с семьями учащихся, формирование активной позиции родителей как участников образовательного процесса. </w:t>
            </w:r>
          </w:p>
          <w:p>
            <w:pPr>
              <w:pStyle w:val="ListParagraph"/>
              <w:widowControl/>
              <w:numPr>
                <w:ilvl w:val="1"/>
                <w:numId w:val="11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Цифровизация системы управления образовательной организацией, в том числе документооборота.</w:t>
            </w:r>
          </w:p>
        </w:tc>
      </w:tr>
      <w:tr>
        <w:trPr>
          <w:trHeight w:val="20" w:hRule="atLeast"/>
        </w:trPr>
        <w:tc>
          <w:tcPr>
            <w:tcW w:w="33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Планируемые результаты реализации Программы развития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pBdr/>
              <w:tabs>
                <w:tab w:val="clear" w:pos="708"/>
                <w:tab w:val="left" w:pos="720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Переход общего образования на обновленные ФГОС. </w:t>
            </w:r>
          </w:p>
          <w:p>
            <w:pPr>
              <w:pStyle w:val="ListParagraph"/>
              <w:widowControl w:val="false"/>
              <w:numPr>
                <w:ilvl w:val="1"/>
                <w:numId w:val="10"/>
              </w:numPr>
              <w:pBdr/>
              <w:tabs>
                <w:tab w:val="clear" w:pos="708"/>
                <w:tab w:val="left" w:pos="720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Создание системы управления качеством образования на основе использования ИКТ-технологий. </w:t>
            </w:r>
          </w:p>
          <w:p>
            <w:pPr>
              <w:pStyle w:val="ListParagraph"/>
              <w:widowControl w:val="false"/>
              <w:numPr>
                <w:ilvl w:val="1"/>
                <w:numId w:val="10"/>
              </w:numPr>
              <w:pBdr/>
              <w:tabs>
                <w:tab w:val="clear" w:pos="708"/>
                <w:tab w:val="left" w:pos="720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Подготовка обучающихся к продолжению образования, к дальнейшей социализации в обществе. Создание условий для развития как одарённых, так и детей, испытывающих трудности в обучении. </w:t>
            </w:r>
          </w:p>
          <w:p>
            <w:pPr>
              <w:pStyle w:val="ListParagraph"/>
              <w:widowControl w:val="false"/>
              <w:numPr>
                <w:ilvl w:val="1"/>
                <w:numId w:val="10"/>
              </w:numPr>
              <w:pBdr/>
              <w:tabs>
                <w:tab w:val="clear" w:pos="708"/>
                <w:tab w:val="left" w:pos="720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Повышение профессиональной компетентности педагогов.</w:t>
            </w:r>
          </w:p>
          <w:p>
            <w:pPr>
              <w:pStyle w:val="ListParagraph"/>
              <w:widowControl w:val="false"/>
              <w:numPr>
                <w:ilvl w:val="1"/>
                <w:numId w:val="10"/>
              </w:numPr>
              <w:pBdr/>
              <w:tabs>
                <w:tab w:val="clear" w:pos="708"/>
                <w:tab w:val="left" w:pos="720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Контроль освоения учебных программ и успеваемости обучающихся со стороны родителей.</w:t>
            </w:r>
          </w:p>
          <w:p>
            <w:pPr>
              <w:pStyle w:val="ListParagraph"/>
              <w:widowControl w:val="false"/>
              <w:numPr>
                <w:ilvl w:val="1"/>
                <w:numId w:val="10"/>
              </w:numPr>
              <w:pBdr/>
              <w:tabs>
                <w:tab w:val="clear" w:pos="708"/>
                <w:tab w:val="left" w:pos="720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Усовершенствование образовательной среды обучающихся с использованием возможностей ИКТ.</w:t>
            </w:r>
          </w:p>
          <w:p>
            <w:pPr>
              <w:pStyle w:val="ListParagraph"/>
              <w:widowControl w:val="false"/>
              <w:numPr>
                <w:ilvl w:val="1"/>
                <w:numId w:val="10"/>
              </w:numPr>
              <w:pBdr/>
              <w:tabs>
                <w:tab w:val="clear" w:pos="708"/>
                <w:tab w:val="left" w:pos="720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Полноценное обучение детей с ОВЗ и детей–инвалидов,  в том числе с использованием дистанционных технологий. </w:t>
            </w:r>
          </w:p>
          <w:p>
            <w:pPr>
              <w:pStyle w:val="ListParagraph"/>
              <w:widowControl w:val="false"/>
              <w:numPr>
                <w:ilvl w:val="1"/>
                <w:numId w:val="10"/>
              </w:numPr>
              <w:pBdr/>
              <w:tabs>
                <w:tab w:val="clear" w:pos="708"/>
                <w:tab w:val="left" w:pos="720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Единая образовательная  среда  для развития творческих способностей обучающихся. </w:t>
            </w:r>
          </w:p>
          <w:p>
            <w:pPr>
              <w:pStyle w:val="ListParagraph"/>
              <w:widowControl w:val="false"/>
              <w:numPr>
                <w:ilvl w:val="1"/>
                <w:numId w:val="10"/>
              </w:numPr>
              <w:pBdr/>
              <w:tabs>
                <w:tab w:val="clear" w:pos="708"/>
                <w:tab w:val="left" w:pos="720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Активная работа педагогического коллектива по поддержке одарённых детей, программы дополнительного образования МОУ Максимковской ООШ, работа в рамках данной Программы. Активное использование разнообразных форм работы с одарёнными детьми: групповые занятия; предметные кружки; кружки по интересам; конкурсы; участие в олимпиадах; работа по индивидуальным планам; исследовательская и проектная деятельность, участие в научно-практической работе.</w:t>
            </w:r>
          </w:p>
          <w:p>
            <w:pPr>
              <w:pStyle w:val="ListParagraph"/>
              <w:widowControl w:val="false"/>
              <w:numPr>
                <w:ilvl w:val="1"/>
                <w:numId w:val="10"/>
              </w:numPr>
              <w:pBdr/>
              <w:tabs>
                <w:tab w:val="clear" w:pos="708"/>
                <w:tab w:val="left" w:pos="720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Внедрение эффективной системы внутреннего независимого контроля качества образования в школе.  </w:t>
            </w:r>
          </w:p>
          <w:p>
            <w:pPr>
              <w:pStyle w:val="ListParagraph"/>
              <w:widowControl w:val="false"/>
              <w:numPr>
                <w:ilvl w:val="1"/>
                <w:numId w:val="10"/>
              </w:numPr>
              <w:pBdr/>
              <w:tabs>
                <w:tab w:val="clear" w:pos="708"/>
                <w:tab w:val="left" w:pos="720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Реализация рабочей программы воспитания обучающихся школы. </w:t>
            </w:r>
          </w:p>
          <w:p>
            <w:pPr>
              <w:pStyle w:val="ListParagraph"/>
              <w:widowControl w:val="false"/>
              <w:numPr>
                <w:ilvl w:val="1"/>
                <w:numId w:val="10"/>
              </w:numPr>
              <w:pBdr/>
              <w:tabs>
                <w:tab w:val="clear" w:pos="708"/>
                <w:tab w:val="left" w:pos="720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Мотивация обучающихся к проектно-исследовательской деятельности по изучению исторических корней своей семьи, малой родины, своего Отечества, способствующей формированию личной ответственности за сохранение и приумножение духовного наследия. Формирование основ гражданской, патриотической, духовно-нравственной культуры обучающихся.   </w:t>
            </w:r>
          </w:p>
          <w:p>
            <w:pPr>
              <w:pStyle w:val="ListParagraph"/>
              <w:widowControl w:val="false"/>
              <w:numPr>
                <w:ilvl w:val="1"/>
                <w:numId w:val="10"/>
              </w:numPr>
              <w:pBdr/>
              <w:tabs>
                <w:tab w:val="clear" w:pos="708"/>
                <w:tab w:val="left" w:pos="720" w:leader="none"/>
              </w:tabs>
              <w:spacing w:lineRule="auto" w:line="240" w:before="0" w:after="0"/>
              <w:ind w:hanging="0"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Создание инфраструктуры образования школы  </w:t>
            </w:r>
          </w:p>
        </w:tc>
      </w:tr>
      <w:tr>
        <w:trPr>
          <w:trHeight w:val="317" w:hRule="atLeast"/>
        </w:trPr>
        <w:tc>
          <w:tcPr>
            <w:tcW w:w="33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Сведения о разработчиках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Директор школы:  Смирнова Е.М.</w:t>
            </w:r>
          </w:p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Заместители директора школы: Проненкова Н.Г., Дзюбова Е.В.</w:t>
            </w:r>
          </w:p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Учителя МОУ Максимковской ООШ</w:t>
            </w:r>
          </w:p>
        </w:tc>
      </w:tr>
      <w:tr>
        <w:trPr>
          <w:trHeight w:val="20" w:hRule="atLeast"/>
        </w:trPr>
        <w:tc>
          <w:tcPr>
            <w:tcW w:w="33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Период реализации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2024-2029</w:t>
            </w:r>
          </w:p>
        </w:tc>
      </w:tr>
      <w:tr>
        <w:trPr>
          <w:trHeight w:val="317" w:hRule="atLeast"/>
        </w:trPr>
        <w:tc>
          <w:tcPr>
            <w:tcW w:w="33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Этапы реализации Программы развития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pBdr/>
              <w:spacing w:lineRule="auto" w:line="276" w:before="0" w:after="0"/>
              <w:ind w:hanging="0" w:left="0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Подготовительный этап. 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pBdr/>
              <w:spacing w:lineRule="auto" w:line="276" w:before="0" w:after="0"/>
              <w:ind w:hanging="0" w:left="0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Апробационный этап (реализация). 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pBdr/>
              <w:spacing w:lineRule="auto" w:line="276" w:before="0" w:after="0"/>
              <w:ind w:hanging="0" w:left="0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Конструктивно-формирующий этап (реализация).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pBdr/>
              <w:spacing w:lineRule="auto" w:line="276" w:before="0" w:after="0"/>
              <w:ind w:hanging="0" w:left="0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Times New Roman" w:cs="Arial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Результативно-диагностический  этап (обобщающий)</w:t>
            </w:r>
          </w:p>
        </w:tc>
      </w:tr>
      <w:tr>
        <w:trPr>
          <w:trHeight w:val="317" w:hRule="atLeast"/>
        </w:trPr>
        <w:tc>
          <w:tcPr>
            <w:tcW w:w="33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I этап – подготовительный </w:t>
            </w:r>
            <w:r>
              <w:rPr>
                <w:rFonts w:eastAsia="Times New Roman" w:cs="Times New Roman" w:ascii="Times New Roman" w:hAnsi="Times New Roman"/>
                <w:i/>
                <w:color w:val="000000"/>
                <w:kern w:val="0"/>
                <w:sz w:val="24"/>
                <w:szCs w:val="24"/>
                <w:lang w:val="ru-RU" w:eastAsia="en-US" w:bidi="ar-SA"/>
              </w:rPr>
              <w:t>2024 г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13"/>
              </w:numPr>
              <w:spacing w:lineRule="auto" w:line="276" w:before="78" w:after="0"/>
              <w:ind w:hanging="49" w:left="49" w:right="33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val="ru-RU" w:eastAsia="en-US" w:bidi="ar-SA"/>
              </w:rPr>
              <w:t xml:space="preserve">подготовка локальных актов ОО (антикризисная программа школы, план-график горизонтального обучения, приказы о назначении ответственных лиц за направления реализации программы; </w:t>
            </w:r>
          </w:p>
          <w:p>
            <w:pPr>
              <w:pStyle w:val="TableParagraph"/>
              <w:numPr>
                <w:ilvl w:val="0"/>
                <w:numId w:val="13"/>
              </w:numPr>
              <w:spacing w:lineRule="auto" w:line="276" w:before="78" w:after="0"/>
              <w:ind w:hanging="49" w:left="49" w:right="33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val="ru-RU" w:eastAsia="en-US" w:bidi="ar-SA"/>
              </w:rPr>
              <w:t xml:space="preserve">разработка и утверждение планов её реализации; </w:t>
            </w:r>
          </w:p>
          <w:p>
            <w:pPr>
              <w:pStyle w:val="TableParagraph"/>
              <w:numPr>
                <w:ilvl w:val="0"/>
                <w:numId w:val="13"/>
              </w:numPr>
              <w:spacing w:lineRule="auto" w:line="276" w:before="78" w:after="0"/>
              <w:ind w:hanging="49" w:left="49" w:right="33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val="ru-RU" w:eastAsia="en-US" w:bidi="ar-SA"/>
              </w:rPr>
              <w:t>подготовка индивидуальных образовательных маршрутов для обучающихся с низкой и высокой мотивацией к учению);</w:t>
            </w:r>
          </w:p>
          <w:p>
            <w:pPr>
              <w:pStyle w:val="TableParagraph"/>
              <w:numPr>
                <w:ilvl w:val="0"/>
                <w:numId w:val="13"/>
              </w:numPr>
              <w:spacing w:lineRule="auto" w:line="276" w:before="78" w:after="0"/>
              <w:ind w:hanging="49" w:left="49" w:right="33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val="ru-RU" w:eastAsia="en-US" w:bidi="ar-SA"/>
              </w:rPr>
              <w:t>информирование родительской общественности об изменениях в образовательной деятельности ОО (общещкольные и классные родительские собрания.</w:t>
            </w:r>
          </w:p>
        </w:tc>
      </w:tr>
      <w:tr>
        <w:trPr>
          <w:trHeight w:val="317" w:hRule="atLeast"/>
        </w:trPr>
        <w:tc>
          <w:tcPr>
            <w:tcW w:w="33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II этап – реализация </w:t>
            </w:r>
          </w:p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val="ru-RU" w:eastAsia="en-US" w:bidi="ar-SA"/>
              </w:rPr>
              <w:t>2024-2028г.г.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ListParagraph"/>
              <w:widowControl w:val="false"/>
              <w:pBdr/>
              <w:spacing w:lineRule="auto" w:line="276" w:before="0" w:after="0"/>
              <w:ind w:left="49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lang w:val="ru-RU" w:eastAsia="en-US" w:bidi="ar-SA"/>
              </w:rPr>
              <w:t xml:space="preserve">- обучение педагогического персонала по программам повышения квалификации, тестирование педагогического персонала; </w:t>
            </w:r>
          </w:p>
          <w:p>
            <w:pPr>
              <w:pStyle w:val="Normal"/>
              <w:widowControl w:val="false"/>
              <w:pBdr/>
              <w:spacing w:lineRule="auto" w:line="276" w:before="0" w:after="0"/>
              <w:ind w:left="49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lang w:val="ru-RU" w:eastAsia="en-US" w:bidi="ar-SA"/>
              </w:rPr>
              <w:t xml:space="preserve">- педсоветы, заседания методических объединений; </w:t>
            </w:r>
          </w:p>
          <w:p>
            <w:pPr>
              <w:pStyle w:val="Normal"/>
              <w:widowControl w:val="false"/>
              <w:pBdr/>
              <w:spacing w:lineRule="auto" w:line="276" w:before="0" w:after="0"/>
              <w:ind w:left="49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lang w:val="ru-RU" w:eastAsia="en-US" w:bidi="ar-SA"/>
              </w:rPr>
              <w:t>- реализация обучения по индивидуальным образовательным маршрутам;</w:t>
            </w:r>
          </w:p>
          <w:p>
            <w:pPr>
              <w:pStyle w:val="Normal"/>
              <w:widowControl w:val="false"/>
              <w:pBdr/>
              <w:spacing w:lineRule="auto" w:line="276" w:before="0" w:after="0"/>
              <w:ind w:left="49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lang w:val="ru-RU" w:eastAsia="en-US" w:bidi="ar-SA"/>
              </w:rPr>
              <w:t>-  совместные мероприятия с социальными партнёрами и родительской общественностью).</w:t>
            </w:r>
          </w:p>
          <w:p>
            <w:pPr>
              <w:pStyle w:val="Normal"/>
              <w:widowControl w:val="false"/>
              <w:pBdr/>
              <w:spacing w:lineRule="auto" w:line="276" w:before="0" w:after="0"/>
              <w:ind w:left="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1. Школа патриотизма. </w:t>
            </w:r>
          </w:p>
          <w:p>
            <w:pPr>
              <w:pStyle w:val="Normal"/>
              <w:widowControl w:val="false"/>
              <w:pBdr/>
              <w:spacing w:lineRule="auto" w:line="276" w:before="0" w:after="0"/>
              <w:ind w:left="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2. Школа педагогического мастерства. </w:t>
            </w:r>
          </w:p>
          <w:p>
            <w:pPr>
              <w:pStyle w:val="Normal"/>
              <w:widowControl w:val="false"/>
              <w:pBdr/>
              <w:spacing w:lineRule="auto" w:line="276" w:before="0" w:after="0"/>
              <w:ind w:left="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3. Цифровая школа. </w:t>
            </w:r>
          </w:p>
          <w:p>
            <w:pPr>
              <w:pStyle w:val="Normal"/>
              <w:widowControl w:val="false"/>
              <w:pBdr/>
              <w:spacing w:lineRule="auto" w:line="276" w:before="0" w:after="0"/>
              <w:ind w:left="49"/>
              <w:jc w:val="both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4.Заботливая школа. </w:t>
            </w:r>
            <w:r>
              <w:rPr>
                <w:rFonts w:eastAsia="Times New Roman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</w:p>
        </w:tc>
      </w:tr>
      <w:tr>
        <w:trPr>
          <w:trHeight w:val="317" w:hRule="atLeast"/>
        </w:trPr>
        <w:tc>
          <w:tcPr>
            <w:tcW w:w="33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III этап – обобщающий </w:t>
            </w:r>
          </w:p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left"/>
              <w:rPr>
                <w:rFonts w:ascii="Times New Roman" w:hAnsi="Times New Roman" w:eastAsia="Times New Roman" w:cs="Times New Roman"/>
                <w:bCs/>
                <w:i/>
                <w:i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val="ru-RU" w:eastAsia="en-US" w:bidi="ar-SA"/>
              </w:rPr>
              <w:t>2029г.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На результативно-диагностическом  этапе (обобщающий): </w:t>
            </w:r>
          </w:p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- провести мониторинг основных направлений Программы проекта «Школа Минпросвещения России», обработать данные, выполнить  развёрнутый анализ; </w:t>
            </w:r>
          </w:p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- обработать данные, выполнить  развёрнутый  анализ;  </w:t>
            </w:r>
          </w:p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- сделать экспертное заключение по реализации «Программы развития МОУ Максимковской ООШ - участника проекта «Школа Минпросвещения России»;  </w:t>
            </w:r>
          </w:p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Times New Roman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- выполнить системное обновление образовательных программ основного и дополнительного образования с учётом направлений модернизации образования, обновленного ФГОС третьего поколения, проекта «Школа Минпросвещения России»; </w:t>
            </w:r>
          </w:p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Times New Roman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- провести комплексную оценку всех параметров работы по управлению образовательным процессом школы  в рамках проекта «Школа Минпросвещения России»; </w:t>
            </w:r>
          </w:p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 оценить состояние деятельности школы, определить дальнейшие  перспективы развития МОУ Максимковской ООШ</w:t>
            </w:r>
          </w:p>
        </w:tc>
      </w:tr>
      <w:tr>
        <w:trPr>
          <w:trHeight w:val="20" w:hRule="atLeast"/>
        </w:trPr>
        <w:tc>
          <w:tcPr>
            <w:tcW w:w="33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Порядок финансирования Программы развития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бюджетные, внебюджетные средства</w:t>
            </w:r>
          </w:p>
        </w:tc>
      </w:tr>
      <w:tr>
        <w:trPr>
          <w:trHeight w:val="317" w:hRule="atLeast"/>
        </w:trPr>
        <w:tc>
          <w:tcPr>
            <w:tcW w:w="331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ind w:left="7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Контроль реализации</w:t>
            </w:r>
          </w:p>
        </w:tc>
        <w:tc>
          <w:tcPr>
            <w:tcW w:w="68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76" w:before="73" w:after="0"/>
              <w:ind w:left="138" w:right="33"/>
              <w:jc w:val="both"/>
              <w:rPr>
                <w:sz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 xml:space="preserve">Организация осуществляет мониторинг эффективности реализации программы развития. Отчетная дата – май каждого года. </w:t>
            </w:r>
            <w:r>
              <w:rPr>
                <w:spacing w:val="-3"/>
                <w:kern w:val="0"/>
                <w:sz w:val="24"/>
                <w:szCs w:val="22"/>
                <w:lang w:val="ru-RU" w:eastAsia="en-US" w:bidi="ar-SA"/>
              </w:rPr>
              <w:t xml:space="preserve">По </w:t>
            </w:r>
            <w:r>
              <w:rPr>
                <w:kern w:val="0"/>
                <w:sz w:val="24"/>
                <w:szCs w:val="22"/>
                <w:lang w:val="ru-RU" w:eastAsia="en-US" w:bidi="ar-SA"/>
              </w:rPr>
              <w:t xml:space="preserve">итогам ежегодного мониторинга ответственный работник составляет аналитический отчет о результатах реализации программы развития. Ответственный назначается приказом директора МОУ Максимковской ООШ. </w:t>
            </w:r>
          </w:p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lang w:val="ru-RU" w:eastAsia="en-US" w:bidi="ar-SA"/>
              </w:rPr>
              <w:t>В контрольных процедурах принимают участие представители Совета учреждения, Совета обучающихся, общешкольного родительского комитета.</w:t>
            </w:r>
          </w:p>
        </w:tc>
      </w:tr>
    </w:tbl>
    <w:p>
      <w:pPr>
        <w:sectPr>
          <w:footerReference w:type="default" r:id="rId5"/>
          <w:footerReference w:type="first" r:id="rId6"/>
          <w:type w:val="nextPage"/>
          <w:pgSz w:w="11906" w:h="16838"/>
          <w:pgMar w:left="1134" w:right="567" w:gutter="0" w:header="0" w:top="851" w:footer="708" w:bottom="851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ListParagraph"/>
        <w:widowControl w:val="false"/>
        <w:numPr>
          <w:ilvl w:val="0"/>
          <w:numId w:val="17"/>
        </w:numPr>
        <w:spacing w:lineRule="auto" w:line="276" w:before="0" w:after="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Информационная справка об ОО</w:t>
      </w:r>
    </w:p>
    <w:p>
      <w:pPr>
        <w:pStyle w:val="Normal"/>
        <w:widowControl w:val="false"/>
        <w:spacing w:lineRule="auto" w:line="276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f0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612"/>
        <w:gridCol w:w="7592"/>
      </w:tblGrid>
      <w:tr>
        <w:trPr/>
        <w:tc>
          <w:tcPr>
            <w:tcW w:w="261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Наименование</w:t>
            </w:r>
          </w:p>
        </w:tc>
        <w:tc>
          <w:tcPr>
            <w:tcW w:w="759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Содержание</w:t>
            </w:r>
          </w:p>
        </w:tc>
      </w:tr>
      <w:tr>
        <w:trPr/>
        <w:tc>
          <w:tcPr>
            <w:tcW w:w="261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Основные сведения об ОО</w:t>
            </w:r>
          </w:p>
        </w:tc>
        <w:tc>
          <w:tcPr>
            <w:tcW w:w="759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1. Муниципальное общеобразовательное учреждение Максимковская основная общеобразовательная школа (МОУ Максимковская ООШ)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2. 1997 год.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3. ИНН 6939004480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4. Отдел образования  Администрации Селижаровского муниципального округа.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5. Лицензия № 424 от 17.12.2014г.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6.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2"/>
                <w:lang w:val="ru-RU" w:eastAsia="en-US" w:bidi="ar-SA"/>
              </w:rPr>
              <w:t>172224, Тверская область, пгт. Селижарово, д. Максимково — 172224, Тверская область, муниципальный округ Селижаровский, деревня Максимково, улица Новая, дом 11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7. </w:t>
            </w:r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color w:val="030303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8-48-269-50-218, </w:t>
            </w:r>
            <w:hyperlink r:id="rId7">
              <w:r>
                <w:rPr>
                  <w:rStyle w:val="Hyperlink"/>
                  <w:rFonts w:eastAsia="Calibri" w:cs="Times New Roman" w:ascii="Times New Roman" w:hAnsi="Times New Roman"/>
                  <w:b/>
                  <w:bCs/>
                  <w:i/>
                  <w:iCs/>
                  <w:color w:val="000000"/>
                  <w:kern w:val="0"/>
                  <w:sz w:val="24"/>
                  <w:szCs w:val="24"/>
                  <w:u w:val="none"/>
                  <w:shd w:fill="FFFFFF" w:val="clear"/>
                  <w:lang w:val="ru-RU" w:eastAsia="en-US" w:bidi="ar-SA"/>
                </w:rPr>
                <w:t>e.m.smirnova@max-school.ru</w:t>
              </w:r>
            </w:hyperlink>
            <w:r>
              <w:rPr>
                <w:rFonts w:eastAsia="Calibri" w:cs="Times New Roman" w:ascii="Times New Roman" w:hAnsi="Times New Roman"/>
                <w:b/>
                <w:bCs/>
                <w:i/>
                <w:iCs/>
                <w:color w:val="030303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, https://max-school.ru</w:t>
            </w:r>
          </w:p>
        </w:tc>
      </w:tr>
      <w:tr>
        <w:trPr/>
        <w:tc>
          <w:tcPr>
            <w:tcW w:w="2612" w:type="dxa"/>
            <w:tcBorders/>
          </w:tcPr>
          <w:p>
            <w:pPr>
              <w:pStyle w:val="ListParagraph"/>
              <w:widowControl w:val="false"/>
              <w:spacing w:lineRule="auto" w:line="276" w:before="0" w:after="0"/>
              <w:ind w:left="0"/>
              <w:contextualSpacing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Сведения </w:t>
              <w:br/>
              <w:t xml:space="preserve">об обучающихся </w:t>
            </w:r>
          </w:p>
        </w:tc>
        <w:tc>
          <w:tcPr>
            <w:tcW w:w="7592" w:type="dxa"/>
            <w:tcBorders/>
          </w:tcPr>
          <w:p>
            <w:pPr>
              <w:pStyle w:val="ListParagraph"/>
              <w:widowControl w:val="false"/>
              <w:spacing w:lineRule="auto" w:line="276" w:before="0" w:after="0"/>
              <w:ind w:left="0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начальное общее образование –  8 обучающихся в том числе 1 ребенок с ОВЗ;</w:t>
            </w:r>
          </w:p>
          <w:p>
            <w:pPr>
              <w:pStyle w:val="ListParagraph"/>
              <w:widowControl w:val="false"/>
              <w:spacing w:lineRule="auto" w:line="276" w:before="0" w:after="0"/>
              <w:ind w:left="0"/>
              <w:contextualSpacing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 основное общее образование – 13 обучающихся, в том числе 2 ребенка с ОВЗ;</w:t>
            </w:r>
          </w:p>
          <w:p>
            <w:pPr>
              <w:pStyle w:val="ListParagraph"/>
              <w:widowControl w:val="false"/>
              <w:spacing w:lineRule="auto" w:line="276" w:before="0" w:after="0"/>
              <w:ind w:left="0"/>
              <w:contextualSpacing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Arial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 всего по школе – 21 обучающийся.</w:t>
            </w:r>
          </w:p>
        </w:tc>
      </w:tr>
      <w:tr>
        <w:trPr/>
        <w:tc>
          <w:tcPr>
            <w:tcW w:w="261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Краткая характеристика организационно-педагогических условий</w:t>
            </w:r>
          </w:p>
        </w:tc>
        <w:tc>
          <w:tcPr>
            <w:tcW w:w="759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Административное управление осуществляют директор школы, прошедший соответствующую аттестацию, назначаемый Отделом образования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Администрации Селижаровского муниципального округа, и его заместители.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Основной функцией директора школы является координация действий всех участников образовательного процесса через Педагогический совет, Совет школы,  Совет обучающихся, Совет родителей.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Управление школой осуществляется в соответствии с законодательством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Российской Федерации и Уставом школы на основе принципа гласности,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открытости, демократии и самоуправления. Коллегиальным органом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управления является Совет школы. В управление школой включён орган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ученического самоуправления - Совет школы.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МОУ Максимковской ООШ реализуются следующие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общеобразовательные программы: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pacing w:lineRule="auto" w:line="276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Образовательная программа начального общего образования</w:t>
            </w:r>
          </w:p>
          <w:p>
            <w:pPr>
              <w:pStyle w:val="ListParagraph"/>
              <w:widowControl w:val="false"/>
              <w:numPr>
                <w:ilvl w:val="0"/>
                <w:numId w:val="14"/>
              </w:numPr>
              <w:spacing w:lineRule="auto" w:line="276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Образовательная программа основного общего образования 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Школа осуществляет образовательную деятельность по программам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дополнительного образования следующей направленности: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 технической;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 физкультурно-оздоровительной;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 туристско-краеведческой;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 естественнонаучной;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 художественно-эстетической</w:t>
            </w:r>
          </w:p>
        </w:tc>
      </w:tr>
      <w:tr>
        <w:trPr/>
        <w:tc>
          <w:tcPr>
            <w:tcW w:w="261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Сведения о режиме деятельности</w:t>
            </w:r>
          </w:p>
        </w:tc>
        <w:tc>
          <w:tcPr>
            <w:tcW w:w="759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МОУ Максимковская ООШ работает в одну смену по 5-дневной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учебной неделе.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Понедельник-пятница 8.00 - 16.00, выходные - суббота, воскресенье.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Время проведения учебных занятий – с 9.00 до 15.25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Продолжительность перемен между учебными занятиями - 10 минут,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две перемены по 20 минут (завтрак после 1 урока), обед после 3 урока.</w:t>
            </w:r>
          </w:p>
        </w:tc>
      </w:tr>
      <w:tr>
        <w:trPr/>
        <w:tc>
          <w:tcPr>
            <w:tcW w:w="261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Сведения о работниках ОО</w:t>
            </w:r>
          </w:p>
        </w:tc>
        <w:tc>
          <w:tcPr>
            <w:tcW w:w="759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 Общее количество работников - 13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 количество педагогических работников – 8;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 количество учителей - 7;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- количество специалистов: педагоги-психологи- 1, учитель-логопед - 1, 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библиотекарь – 1;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 количество работников, имеющих ученую степень / ученое звание - 0;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 количество педагогов, имеющих ведомственные награды: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почетная грамота Министерства просвещения Российской Федерации – 1;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знак «Почётный работник воспитания и просвещения РФ» -0.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 количество работников, имеющих государственные награды - 0;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 доля работников с высшим образованием – 25%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 доля учителей, имеющих высшую квалификационную категорию -0%, первую квалификационную категорию – 0 %;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 количество учителей, имеющих квалификационную категорию «педагог-наставник»/«педагог-методист»-0;</w:t>
            </w:r>
          </w:p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- иные особенности коллектива – нет</w:t>
            </w:r>
          </w:p>
        </w:tc>
      </w:tr>
      <w:tr>
        <w:trPr/>
        <w:tc>
          <w:tcPr>
            <w:tcW w:w="261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Краткая характеристика окружающего социума, наличие социальных партнеров</w:t>
            </w:r>
          </w:p>
        </w:tc>
        <w:tc>
          <w:tcPr>
            <w:tcW w:w="7592" w:type="dxa"/>
            <w:tcBorders/>
          </w:tcPr>
          <w:tbl>
            <w:tblPr>
              <w:tblStyle w:val="af0"/>
              <w:tblW w:w="7527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/>
            </w:tblPr>
            <w:tblGrid>
              <w:gridCol w:w="2855"/>
              <w:gridCol w:w="4671"/>
            </w:tblGrid>
            <w:tr>
              <w:trPr/>
              <w:tc>
                <w:tcPr>
                  <w:tcW w:w="2855" w:type="dxa"/>
                  <w:tcBorders/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ru-RU" w:eastAsia="en-US" w:bidi="ar-SA"/>
                    </w:rPr>
                    <w:t>Учреждение</w:t>
                  </w:r>
                </w:p>
              </w:tc>
              <w:tc>
                <w:tcPr>
                  <w:tcW w:w="4671" w:type="dxa"/>
                  <w:tcBorders/>
                </w:tcPr>
                <w:p>
                  <w:pPr>
                    <w:pStyle w:val="Normal"/>
                    <w:widowControl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ru-RU" w:eastAsia="en-US" w:bidi="ar-SA"/>
                    </w:rPr>
                    <w:t>Формы взаимодействия</w:t>
                  </w:r>
                </w:p>
              </w:tc>
            </w:tr>
            <w:tr>
              <w:trPr/>
              <w:tc>
                <w:tcPr>
                  <w:tcW w:w="2855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Отдел молодежи администрации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Селижаровского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муниципального округа</w:t>
                  </w:r>
                </w:p>
              </w:tc>
              <w:tc>
                <w:tcPr>
                  <w:tcW w:w="4671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Проведение акции «Блокадный хлеб»,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 xml:space="preserve">"Георгиевская ленточка", 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участие в проведении акций и спортивных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соревнований</w:t>
                  </w:r>
                </w:p>
              </w:tc>
            </w:tr>
            <w:tr>
              <w:trPr/>
              <w:tc>
                <w:tcPr>
                  <w:tcW w:w="2855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Отдел ГБУ СРЦН «Мой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семейный центр»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Селижаровского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муниципального округа</w:t>
                  </w:r>
                </w:p>
              </w:tc>
              <w:tc>
                <w:tcPr>
                  <w:tcW w:w="4671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Организация льготного питания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обучающихся,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 xml:space="preserve"> 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надзор над опекаемыми и детьми в ТЖС, совместная работа в рамках межведомственного взаимодействия</w:t>
                  </w:r>
                </w:p>
              </w:tc>
            </w:tr>
            <w:tr>
              <w:trPr/>
              <w:tc>
                <w:tcPr>
                  <w:tcW w:w="2855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 xml:space="preserve">КДН 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Селижаровского МО</w:t>
                  </w:r>
                </w:p>
              </w:tc>
              <w:tc>
                <w:tcPr>
                  <w:tcW w:w="4671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Контроль за соблюдением прав и свобод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 xml:space="preserve">несовершеннолетних, 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совместная работа в рамках межведомственного взаимодействия</w:t>
                  </w:r>
                </w:p>
              </w:tc>
            </w:tr>
            <w:tr>
              <w:trPr/>
              <w:tc>
                <w:tcPr>
                  <w:tcW w:w="2855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Отдел по работе с территориями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Администрации Селижаровского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МО (Местное самоуправление)</w:t>
                  </w:r>
                </w:p>
              </w:tc>
              <w:tc>
                <w:tcPr>
                  <w:tcW w:w="4671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Уборка братского захоронения д. Дмитрово,  д.Азаново ,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 xml:space="preserve"> 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акции «Память», «Письмо ветерану»,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экологический субботник, трудоустройство старшеклассников</w:t>
                  </w:r>
                </w:p>
              </w:tc>
            </w:tr>
            <w:tr>
              <w:trPr/>
              <w:tc>
                <w:tcPr>
                  <w:tcW w:w="2855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ПДН, МВД</w:t>
                  </w:r>
                </w:p>
              </w:tc>
              <w:tc>
                <w:tcPr>
                  <w:tcW w:w="4671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Контроль за соблюдением прав и свобод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несовершеннолетних,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 xml:space="preserve"> 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профилактическая работа,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 xml:space="preserve"> 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совместная работа в рамках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межведомственного взаимодействия</w:t>
                  </w:r>
                </w:p>
              </w:tc>
            </w:tr>
            <w:tr>
              <w:trPr/>
              <w:tc>
                <w:tcPr>
                  <w:tcW w:w="2855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Прокуратура Селижаровского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муниципального округа</w:t>
                  </w:r>
                </w:p>
              </w:tc>
              <w:tc>
                <w:tcPr>
                  <w:tcW w:w="4671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Контроль за соблюдением прав и свобод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несовершеннолетних,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 xml:space="preserve"> 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 xml:space="preserve">профилактическая работа, 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совместная работа в рамках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межведомственного взаимодействия</w:t>
                  </w:r>
                </w:p>
              </w:tc>
            </w:tr>
            <w:tr>
              <w:trPr/>
              <w:tc>
                <w:tcPr>
                  <w:tcW w:w="2855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Редакция газеты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«Верхневолжская правда»</w:t>
                  </w:r>
                </w:p>
              </w:tc>
              <w:tc>
                <w:tcPr>
                  <w:tcW w:w="4671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 xml:space="preserve">Публикации, 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профориентационная работа,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патриотическое воспитание</w:t>
                  </w:r>
                </w:p>
              </w:tc>
            </w:tr>
            <w:tr>
              <w:trPr/>
              <w:tc>
                <w:tcPr>
                  <w:tcW w:w="2855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ФАП д. Оковцы,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 xml:space="preserve"> 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ЦРБ п.Селижарово</w:t>
                  </w:r>
                </w:p>
              </w:tc>
              <w:tc>
                <w:tcPr>
                  <w:tcW w:w="4671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Беседы,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 xml:space="preserve"> 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медицинское обслуживание,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диспансеризация</w:t>
                  </w:r>
                </w:p>
              </w:tc>
            </w:tr>
            <w:tr>
              <w:trPr/>
              <w:tc>
                <w:tcPr>
                  <w:tcW w:w="2855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ДООЦ ОФП</w:t>
                  </w:r>
                </w:p>
              </w:tc>
              <w:tc>
                <w:tcPr>
                  <w:tcW w:w="4671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спортивные соревнования,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 xml:space="preserve"> 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ГТО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</w:r>
                </w:p>
              </w:tc>
            </w:tr>
            <w:tr>
              <w:trPr/>
              <w:tc>
                <w:tcPr>
                  <w:tcW w:w="2855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 xml:space="preserve">Краеведческий музей 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п.Селижарово</w:t>
                  </w:r>
                </w:p>
              </w:tc>
              <w:tc>
                <w:tcPr>
                  <w:tcW w:w="4671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 xml:space="preserve">Совместная поисковая работа, 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посещение музея</w:t>
                  </w:r>
                </w:p>
              </w:tc>
            </w:tr>
            <w:tr>
              <w:trPr/>
              <w:tc>
                <w:tcPr>
                  <w:tcW w:w="2855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Районная библиотека</w:t>
                  </w:r>
                </w:p>
              </w:tc>
              <w:tc>
                <w:tcPr>
                  <w:tcW w:w="4671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Конкурс «Живая классика»</w:t>
                  </w:r>
                </w:p>
              </w:tc>
            </w:tr>
            <w:tr>
              <w:trPr/>
              <w:tc>
                <w:tcPr>
                  <w:tcW w:w="2855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 xml:space="preserve">ГБОУ 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«Областная станция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юннатов»</w:t>
                  </w:r>
                </w:p>
              </w:tc>
              <w:tc>
                <w:tcPr>
                  <w:tcW w:w="4671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Акции,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 xml:space="preserve"> 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 xml:space="preserve">конкурсы, 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исследовательская работа</w:t>
                  </w:r>
                </w:p>
              </w:tc>
            </w:tr>
            <w:tr>
              <w:trPr/>
              <w:tc>
                <w:tcPr>
                  <w:tcW w:w="2855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колхоз «Агро-Колос»</w:t>
                  </w:r>
                </w:p>
              </w:tc>
              <w:tc>
                <w:tcPr>
                  <w:tcW w:w="4671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Профориентационные мероприятия</w:t>
                  </w:r>
                </w:p>
              </w:tc>
            </w:tr>
            <w:tr>
              <w:trPr/>
              <w:tc>
                <w:tcPr>
                  <w:tcW w:w="2855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Почта России</w:t>
                  </w:r>
                </w:p>
              </w:tc>
              <w:tc>
                <w:tcPr>
                  <w:tcW w:w="4671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4"/>
                      <w:szCs w:val="24"/>
                      <w:lang w:val="ru-RU" w:eastAsia="en-US" w:bidi="ar-SA"/>
                    </w:rPr>
                    <w:t>Профориентационные мероприятия</w:t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76" w:before="0"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61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Краткое описание достижений ОО за предыдущие 3 года</w:t>
            </w:r>
          </w:p>
        </w:tc>
        <w:tc>
          <w:tcPr>
            <w:tcW w:w="759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Описать достижения (при наличии)</w:t>
            </w:r>
          </w:p>
        </w:tc>
      </w:tr>
    </w:tbl>
    <w:p>
      <w:pPr>
        <w:sectPr>
          <w:footerReference w:type="default" r:id="rId8"/>
          <w:footerReference w:type="first" r:id="rId9"/>
          <w:type w:val="nextPage"/>
          <w:pgSz w:w="11906" w:h="16838"/>
          <w:pgMar w:left="1134" w:right="567" w:gutter="0" w:header="0" w:top="851" w:footer="708" w:bottom="851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ListParagraph"/>
        <w:widowControl w:val="false"/>
        <w:numPr>
          <w:ilvl w:val="0"/>
          <w:numId w:val="18"/>
        </w:numPr>
        <w:pBdr/>
        <w:snapToGrid w:val="false"/>
        <w:spacing w:lineRule="auto" w:line="240" w:before="0" w:after="0"/>
        <w:ind w:firstLine="709" w:left="0"/>
        <w:contextualSpacing w:val="false"/>
        <w:jc w:val="both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Проблемно-ориентированный анализ текущего состояния и результатов самодиагностики.</w:t>
      </w:r>
    </w:p>
    <w:p>
      <w:pPr>
        <w:pStyle w:val="Normal"/>
        <w:snapToGrid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3.1. Результаты самодиагностики, установление уровня достижения результатов Проекта (баллы, уровень по каждому направлению и в целом). </w:t>
      </w:r>
    </w:p>
    <w:tbl>
      <w:tblPr>
        <w:tblStyle w:val="24"/>
        <w:tblpPr w:vertAnchor="text" w:horzAnchor="margin" w:leftFromText="180" w:rightFromText="180" w:tblpX="0" w:tblpY="638"/>
        <w:tblW w:w="1535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91"/>
        <w:gridCol w:w="2602"/>
        <w:gridCol w:w="1882"/>
        <w:gridCol w:w="1066"/>
        <w:gridCol w:w="1848"/>
        <w:gridCol w:w="1882"/>
        <w:gridCol w:w="2602"/>
        <w:gridCol w:w="2977"/>
      </w:tblGrid>
      <w:tr>
        <w:trPr>
          <w:tblHeader w:val="true"/>
          <w:trHeight w:val="288" w:hRule="atLeast"/>
        </w:trPr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DengXian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zh-CN" w:bidi="ar-SA"/>
              </w:rPr>
              <w:t>№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DengXian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zh-CN" w:bidi="ar-SA"/>
              </w:rPr>
              <w:t>Показатель оценивания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DengXian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zh-CN" w:bidi="ar-SA"/>
              </w:rPr>
              <w:t>Значение оценивания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DengXian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zh-CN" w:bidi="ar-SA"/>
              </w:rPr>
              <w:t>Балльная оценка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DengXian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zh-CN" w:bidi="ar-SA"/>
              </w:rPr>
              <w:t>Магистральное направление, ключевое условие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DengXian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zh-CN" w:bidi="ar-SA"/>
              </w:rPr>
              <w:t>Критерий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DengXian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zh-CN" w:bidi="ar-SA"/>
              </w:rPr>
              <w:t>Дефициты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DengXian" w:cs="Times New Roman" w:ascii="Times New Roman" w:hAnsi="Times New Roman"/>
                <w:b/>
                <w:bCs/>
                <w:kern w:val="2"/>
                <w:sz w:val="24"/>
                <w:szCs w:val="24"/>
                <w:lang w:val="ru-RU" w:eastAsia="zh-CN" w:bidi="ar-SA"/>
              </w:rPr>
              <w:t>Управленческие действия/решения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Реализация учебно-исследовательской и проектной деятельности(критический показатель)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Обучающиеся участвуют в реализации проектной и/или исследовательской деятельности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«Знание»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Образовательный процесс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2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Реализация учебных планов одного или нескольких профилей обучения и (или) индивидуальных учебных планов (критический показатель)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Реализация не менее 2 профилей  или нескольких различных индивидуальных учебных планов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2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«Знание»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Образовательный процесс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Отсутствие квалифицированных педагогов, которые могут обеспечивать реализацию программ учебных предметов на профильном, углубленном уровне.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сетевого партнерства с вузами по реализации образовательных программ: предметов, курсов, практик, проектов (университетские преподаватели ведут профильные занятия).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Использование сетевых форм реализации образовательной деятельности, привлечение специалистов/педагогических работников из других образовательных организаций для организации профильного обучения, обучения по индивидуальным учебным планам.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Использование модульного принципа осовения образовательных программ (одна программа реализуется несколькими педагогами, обладающими большими компетенциями по определенному направлению).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Мотивация педагогов к повышению уровня профессиональных компетенций  в ходе реализации ИОМ.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участия педагогов в профессиональных конкурсах и олимпиадах.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Низкий уровень профессиональных компетенций педагогических работников в организации профильного обучения в ОО, составлении индивидуальных учебных планов и обучении по индивидуальным учебным планам.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адресной организационно-методической помощи педагогам в составлении и реализации учебных планов профилей обучения и (или) индивидуальных учебных планов, ИОМов.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Использование методологий менторства и наставничества для персонифицированной помощи педагогическим работникам в составлении и реализации учебных планов профилей обучения и (или) индивидуальных учебных планов, ИОМов.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Повышение мотивации учителя, актуализация мер морального и материального стимулирования.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Недостаточная работа по подготовке обучающихся к выбору профиля обучения. 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Назначение педагога-куратора для индивидуального сопровождения обучающегося: консультирования по выбору предметов ГИА, по определнию профиля, личного образовательного маршрута и т. д.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психолого-педагогической диагностики по выявлению индивидуальных способностей и особенностей развития.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индивидуальной работы с родителями по принятию идей персонализации образовательной деятельности.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Недостаточная материально-техническая база, нет оборудования для экспериментов, лабораторных работ и опытов.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сетевого взаимодействие с ОО, учреждениями дополнительного допобразования, вузами, технопарками, и т. д. по использованию материально-технической базы.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создания муниципального «ресурсного центра», в котором дети изучают углубленные курсы, а предметы на базовом уровне проходят в школах «у дома».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дополнительных источников финансирования, в том числе внебюджетных источников финансирования, участие в грантовых конкурсах.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Недостаточное качество управления формированием и функционированием системы методического и организационно-педагогического обеспечения профильного обучения, дифференциации и индивидуализации обучения.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Актуализация требований ЛНА (Положение об организации профильного обучения, индивидуальных учебных планах, ИОМ педагогических работников).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самообследования ресурсных условий (материально-технических, кадровых, информационных и др.) для реализации профильного обучения в образовательной организации.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административного контроля организации профильного обучения.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Осуществление экспертизы учебных планов профилей и индивидуальных учебных планов на предмет их соответствия требованиям ФГОС общего образования.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диагностики способностей, образовательных и профессиональных потребностей обучающихся в профильном обучении.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обучения педагогов по составлению индивидуальных учебных планов, ИОМов.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обучения педагогов на курсах повышения квалификации по преподаванию предметов на профильном уровне.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Использование автоматизированных систем по организационно-управленческихм вопросам (учет персональной нагрузки обучающихся и педагогов, контроль прохождения ИОМ, составление и корректировка расписания).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Недостаточная работа по формированию интереса и мотивации обучающихся к профильному обучению.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разъяснительной работы с обучающимися и родителями (законными представителями) о важности профильного обучения обучающихся в профессиональном самоопределении.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профориентационных мер (посещение производственных предприятий, организаций социальной сферы, организаций высшего и среднего профессионального образования), использование различных форматов, технологий обучения.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диагностики запросов на профильное обучение.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психолого-педагогической диагностики по выявлению индивидуальных запросов на профильное обучение.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Не обеспечивается реализация требований ФГОС общего образования к организации профильного обучения, в том числе в форме ИУП. 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 профессиональной ориентации и   предоставление возможности каждому обучающемуся проявить свои интеллектуальные и творческие способности при изучении  учебных предметов, которые необходимы для продолжения получения образования и дальнейшей трудовой деятельности в областях, определенных Стратегией научно-технологического развития.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Включение в основную образовательную программу учебных планов различных профилей обучения в соответствии с требованиями ФГОС.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Предоставление бучающимся в соответствии с требованиями ФГОС СОО возможность формирования индивидуальных учебных планов, включающих обязательные учебные предметы, изучаемые на уровне среднего общего образования (на базовом или углубленном уровне), дополнительные учебные предметы, курсы по выбору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требования ФГОС СОО к реализации учебных планов одного или нескольких профилей обучения (естественно-научный, гуманитарный, социально-экономический, технологический, универсальный).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формирования индивидуальной траектории развития обучающегося (содержание учебных предметов, курсов, модулей, темп и формы образования), реализация ИУП.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возможности индивидуального развития обучающихся посредством реализации индивидуальных учебных планов с учетом получения предпрофессиональных знаний и представлений, направленных на осуществление осознанного выбора образовательной программы следующего уровня образования и (или) направленности.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кадровых,  материально-технических и финансовых ресурсов для реализации ИУП.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изучения  интеллектуальных (академическхе) способностей и возможностей, познавательных интересов и потребностей обучающихся, которые могут служить основанием для разработки ИУП.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вариативности содержания образовательных программ, соответствующих образовательным потребностям и интересам обучающихся.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3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Реализация федеральных рабочих программ по учебным предметам (1‒11 классы) (критический показатель) (с 1 сентября 2023 года)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100% учителей используют программы учебных предметов, содержание и планируемые результаты которых не ниже соответствующих содержания и планируемых результатов федеральных рабочих программ учебных предметов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«Знание»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Образовательный процесс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4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Обеспеченность учебниками и учебными пособиями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Обеспечено учебниками в полном объеме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«Знание»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Образовательный процесс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актуализирован перечень учебников и учебных пособий согласно ФПУ для обеспечения ООП.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Применение электронного учета библиотечного фонда.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внебюджетных фондов.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внебюджетных фондов (грантов, инвестиций).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перспективного прогнозирования контингента обучающихся.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Прогнозирование динамики контингента обучающихся, разработка перспективного плана закупки учебников.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Неэффективное распределение и использование финансовых ресурсов.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системы контроля использования финансовых ресурсов.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своевременного обеспечения учебниками и учебными пособиями в полном объеме.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Изучение нормативной базы (федеральный перечень учебников).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анализа наличия в полном объеме учебников и учебных пособий.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поиска и обмена учебниками с другими общеобразовательными организациями.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регулярного контроля своевременногого оформления  заказа на обеспечение общеобразовательной организации учебниками и учебными пособиями в полном объеме.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5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Применение электронных образовательных ресурсов (ЭОР) из федерального перечня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Предусмотрено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«Знание»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Образовательный процесс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6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Углубленное изучение отдельных предметов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реализуется углубленное изучение отдельных предметов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0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«Знание»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Образовательный процесс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Недостаточная работа по формированию интереса и мотивации обучающихся к углубленному изучению отдельных предметов. 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психолого-педагогической диагностики по выявлению образовательных  интересов и потребностей, способностей и талантов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индивидуальной работы с родителями обучающихся по изучению образовательных запросов и ожиданий.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разъяснительной работы (индивидуальной, групповой) с обучающимися, родителями (законными представителями) о важности углубленного изучения предметов для развития способностей и профессионального самоопределения.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разъяснительной работы с обучающимися, их родителями (законными представителями) о необходимости углубленного изучения отдельных предметов для интеллектуального развития, подготовки к продолжению обучения образовательных организациях высшего и среднего профессионального образования.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Несовершенная система финансирования ИУП.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Усовершенствование системы контроля за использованием финансовых ресурсов,   обеспечивающих  реализацию ООП, в том числе углубленное изучение отдельных предметов в рамках ИУП.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Не используются возможности реализации образовательной программы в сетевой форме.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условий для реализации ООП в сетевой форме: выявление дефицитов, заключение сетевых договоров, мониторинг.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муниципального «ресурсного центра», в котором дети изучают углубленные курсы, а предметы на базовом уровне проходят в школах «у дома».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системы изучение интересов и запросов обучающихся и их родителей (законных представителей).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психолого-педагогической диагностики по выявлению образовательных  интересов и потребностей, способностей и талантов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индивидуальной работы с родителями обучающихся по изучению запросов и ожиданий.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Назначение педагога-куратора для индивидуального сопровождения обучающегося: консультирования по выбору предметов ГИА, по определнию профиля, личного образовательного маршрута и т. д.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Индивидуальная работа с родителями детей по принятию идей персонализации в образовательной деятельности.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системы формирования запроса.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Автоматизизация системы формирования и обработки образовательных запросов.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практики взаимозачета результатов, полученных в иных организациях.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Принятие локально-нормативных актов по взаимозачету образовательных результатов.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Недостаточная работа по обеспечению требований ФГОС по реализации углубленного изучения отдельных предметов.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самообследования ресурсных (материально-технических, информационных) условий для организации углубленного изучения отдельных предметов.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Осуществление анализа содержания образовательных программ, программ учебных предметов.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диагностических исследований по   выявлению способностей, одаренности, образовательных потребностей обучающихся.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Низкий уровень профессиональной предметно-методической компетентности педагогических работников в осуществлении углубленного изучения отдельных предметов.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адресной методической помощи педагогам в организации углубленного изучения отдельных предметов.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Использование методологий менторства и наставничества для персонифицированной помощи педагогическим работникам в организации углубленного изучения отдельных предметов.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прохождения курсов повышения квалификации по вопросам методики преподавания предмета на углубленном уровне.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Повышение мотивации учителя к преподаванию предмета на углубленном уровне, актуализация мер морального и материального стимулирования.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педагогических работников, способных обеспечить углубленное изучение отдельных предметов.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Использование сетевых форм реализации образовательных программ изучения отдельных предметов.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специалистов/педагогических работников из других образовательных организаций для углубленного изучения отдельных предметов.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Развитие партнерства с вузами, привлечение университетских преподавателей для реализации углубленного изучения отдельных учебных предметов. Создение муниципального «ресурсного центра», в котором обеспечивается изучение отдельных предметов на углубленном уровне.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7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Реализация и соблюдение требований локального акта, регламентирующего формы, порядок, периодичность текущего контроля успеваемости и промежуточной аттестации обучающихся (критический показатель)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100% учителей и членов управленческой команды школы соблюдают требования локального акта, регламентирующего формы, порядок, периодичность текущего контроля успеваемости и промежуточной аттестации обучающихся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«Знание»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Функционирование объективной внутренней системы оценки качества образования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8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Реализация и соблюдение требований локального акта, регламентирующего внутреннюю систему оценки качества образования (критический показатель)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100% учителей и членов управленческой команды школы соблюдают требования локального акта, регламентирующего формы, порядок, периодичность текущего контроля успеваемости и промежуточной аттестации обучающихся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«Знание»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Функционирование объективной внутренней системы оценки качества образования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9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Планирование оценочных процедур с учетом графиков проведения федеральных и региональных (при наличии) оценочных процедур (сводный график оценочных процедур размещен на официальном сайте школы)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Да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«Знание»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Функционирование объективной внутренней системы оценки качества образования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10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выпускников 11 класса, получивших медаль За особые успехи в учении, которые набрали по одному из предметов ПО ВЫБОРУ на ЕГЭ менее 70 баллов (при реализации среднего общего образования)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выпускников 11 класса, получивших медаль «За особые успехи в учении», которые набрали по одному из предметов ЕГЭ менее 70 баллов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«Знание»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Функционирование объективной внутренней системы оценки качества образования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11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Образовательная организация не входит в перечень образовательных организаций с признаками необъективных результатов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образовательная организация  не входит в перечень образовательных организаций с признаками необъективных результатов по итогам двух предыдущих  учебных годов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2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«Знание»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Функционирование объективной внутренней системы оценки качества образования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12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выпускников 9 класса, не получивших аттестаты об основном общем образовании, в общей численности выпускников 9 класса (за предыдущий учебный год)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выпускников 9 класса, не получивших аттестаты об основном общем образовании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«Знание»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Функционирование объективной внутренней системы оценки качества образования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13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выпускников 11 класса, не получивших аттестаты о среднем общем образовании, в общей численности выпускников 11 класса (за предыдущий учебный год)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Отсутствие выпускников 11 класса, не получивших аттестаты о среднем общем образовании 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«Знание»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Функционирование объективной внутренней системы оценки качества образования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14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Реализация рабочих программ курсов внеурочной деятельности, в том числе курса Разговоры о важном (критический показатель)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Обучающимся обеспечено 3‒4 часа еженедельных занятий внеурочной деятельностью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«Знание»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удовлетворения образовательных интересов и потребностей обучающихся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обеспечивается реализация внеурочной деятельности в соответствии с требованиями ФГОС.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выявления способностей, склонностей образовательных интересов и  потребностей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выявления запросов и ожиданий родителей (законных предстваителей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рабочих групп педагогических работников для  разработки программ курсов внеурочной деятельности/внесения корректировок в программы  курсов внеурочной деятельности.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при разработке программ курсов внеурочной деятельности  формирования и развития конкретных планируемых  предметных и метапредметных результатов.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качества образовательной деятельности на занятиях  курсов внеурочной деятельности.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мониторинга  качества образовательной деятельности на занятиях  курсов внеурочной деятельности.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мониторинга результатов образовательной деятельности.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материально-технических, информационно-технических условий для эффективной реализации рабочих программ курсов внеурочной деятельности, в том числе курса «Разговоры о важном».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Недостаточный уровень профессиональных компетенций педагогических работников по составлению и реализации программ внеурочной деятельности.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адресной организационно-методической помощи педагогам в составлении и реализации программ курсов внеурочной деятельности.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Внедрение методологий менторства и наставничества для персонифицированной помощи педагогическим работникам в вопросах составления и реализации программ курсов внеурочной деятельности.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обучения на курсах повышения квалификации по организации учебно-исследовательской и проектной деятельности в рамках внеурочной деятельности.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Повышение мотивации учителя, актуализация мер морального и материального стимулирования.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ресурсных возможностей (кадры, помещения) для реализации программ курсов внеурочной деятельности.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партнеров для организации образовательной деятельности: - взаимодействие с образовательными организациями, организациями высшего и среднего профессионального образования, культуры, науки, использование новых форматов взаимодействия для восполнения недостающих кадровых ресурсов, привлечения кадров к реализация рабочих программ курсов внеурочной деятельности общеобразовательной организации; -взаимодействие с организациями, предприятиями для использования ресурсов профессионально-производственной среды, помещений для реализация рабочих программ курсов внеурочной деятельности; - использование сетевых форм реализации образовательной деятельности.</w:t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15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Участие обучающихся во Всероссийской олимпиаде школьников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0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«Знание»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удовлетворения образовательных интересов и потребностей обучающихся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Недостаток организации вовлечения обучающихся в олимпиадное движение школьников и подготовки к участию обучающихся во Всероссийской олимпиаде школьников.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системы работы с одвренными детьми, включающую выявление, поддержку и сопровождение, развитие интеллектуальной  одаренности.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Повышение мотивации и интереса обучающихся к участию в олимпиадном движении.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разработки программ подготовки обучающихся к участию в олимпиадном движении на всех уровнях от школьного до всероссийского.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систематической подготовки обучающихся к участию в олимпиадном движении на всех уровнях от школьного до всероссийского.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мотивации и интереса обучающихся к участию в школьном туре ВСОШ.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Анализ результатов школьного этапа ВСОШ, прогнозирование результатов  муниципального /регионального/ заключительного этапа.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системы мер морального и материального стимулирования педагогических работников, обеспечивающих участие обучающихся в олимпиадном движении.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системы мер морального и материального стимулирования обучающихся,  в участвующих в олимпиадном движении.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обеспечивается подготовка обучающихся к участию в олимпиадном движении.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Осуществление анализа результатов школьного этапа ВСОШ, прогнозирование результатов  муниципального /регионального/ заключительного этапа.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 индивидуальной подготовки обучающихся в муниципальном/ региональном/заключительном  этапе ВСОШ.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 развития предметно-методических компетенций учителей, обеспечивающих подготовку обучающихся к участию в олимпиадном движении.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педагогических работников в качестве эксперта, члена жюри на различных этапах проведения олимпиады.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партнеров из вузов в рамках сетевого взаимодействия для обеспечения подготовки обучающихся.</w:t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16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победителей и призеров этапов Всероссийской олимпиады школьников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0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«Знание»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удовлетворения образовательных интересов и потребностей обучающихся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Недостаток организации вовлечения обучающихся в олимпиадное движение школьников и подготовки к участию обучающихся во Всероссийской олимпиаде школьников.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системы работы с одвренными детьми, включающую выявление, поддержку и сопровождение, развитие интеллектуальной  одаренности.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Повышение мотивации и интереса обучающихся к участию в олимпиадном движении.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разработки программ подготовки обучающихся к участию в олимпиадном движении на всех уровнях от школьного до всероссийского.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систематической подготовки обучающихся к участию в олимпиадном движении на всех уровнях от школьного до всероссийского.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мотивации и интереса обучающихся к участию в школьном туре ВСОШ.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Анализ результатов школьного этапа ВСОШ, прогнозирование результатов  муниципального /регионального/ заключительного этапа.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системы мер морального и материального стимулирования педагогических работников, обеспечивающих участие обучающихся в олимпиадном движении.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системы мер морального и материального стимулирования обучающихся,  в участвующих в олимпиадном движении.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обеспечивается подготовка обучающихся к участию в олимпиадном движении.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Осуществление анализа результатов школьного этапа ВСОШ, прогнозирование результатов  муниципального /регионального/ заключительного этапа.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 индивидуальной подготовки обучающихся в муниципальном/ региональном/заключительном  этапе ВСОШ.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 развития предметно-методических компетенций учителей, обеспечивающих подготовку обучающихся к участию в олимпиадном движении.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педагогических работников в качестве эксперта, члена жюри на различных этапах проведения олимпиады.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партнеров из вузов в рамках сетевого взаимодействия для обеспечения подготовки обучающихся.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17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Сетевая форма реализации общеобразовательных программ (наличие договора(-ов) о сетевой форме реализации общеобразовательных программ;наличие общеобразовательных программ, реализуемых в сетевой форме)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осуществляется сетевая форма реализации общеобразовательных программ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0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«Знание»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удовлетворения образовательных интересов и потребностей обучающихся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обеспечивается сетевая форма реализации образовательных программ.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определения потребностей, направлений и ожидаемых результатов взаимодействия с социальными партнерами образовательной организации.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взаимодействия общеобразовательной организации с участниками образовательных отношений, органами государственной власти, местного самоуправления, учредителем (собственником), общественными и другими организациями, представителями СМИ.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взаимодействия с предприятиями для использования ресурсов профессионально-производственной среды с целью профессионального определения, осознанного выбора обучающимися образовательно-профессиональных маршрутов, готовности к дальнейшему обучению и успешной социализации.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партнеров для организации образовательной деятельности, использование новых форматов взаимодействия с общеобразовательными организациями, организациями высшего и среднего профессионального образования для привлечения недостающих образовательных ресурсов с целью реализации ключевых образовательных задач; заключение договора(-ов) о сетевой форме реализации общеобразовательных программ.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и координация социального партнерства с местным и бизнес-сообществами, организациями культуры, досуга и спорта, другими образовательными организациями по реализации образовательных и досугово-развивающих программ, мероприятий и событий.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материально-информационно-технических условий для разработки и реализации общеобразовательных программ, реализуемых в сетевой форме.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рабочих групп педагогических работников для создания и экспертизы общеобразовательных программ, реализуемых в сетевой форме,  общеобразовательных программ.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реализации и контроль качества результатов общеобразовательных программ, реализуемых в сетевой форме.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18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Реализация программы (плана) мероприятий по обеспечению доступности и качества образования обучающихся с ОВЗ, с инвалидностью (или развития инклюзивного образования и т. п.)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Реализация в течение 2 и более лет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3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«Знание»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условий для организации образования обучающихся с ограниченными возможностями здоровья (ОВЗ), с инвалидностью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19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Разработанность локальных актов (далее ‒ЛА) в части организации образования обучающихся с ОВЗ, с инвалидностью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Разработаны отдельные ЛА, или есть указание в общих ЛА на особенности организации образования обучающихся с ОВЗ, с инвалидностью по всем вопросам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2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«Знание»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условий для организации образования обучающихся с ограниченными возможностями здоровья (ОВЗ), с инвалидностью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20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Кадровое обеспечение оказания психолого-педагогической и технической помощи обучающимся с ОВЗ, с инвалидностью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Обеспечено полностью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2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«Знание»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условий для организации образования обучающихся с ограниченными возможностями здоровья (ОВЗ), с инвалидностью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21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Программно-методическое обеспечение обучения и воспитания по федеральным адаптированным образовательным программам (при наличии обучающихся с ОВЗ, с инвалидностью)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Разработаны адаптированные основные общеобразовательные программы и адаптированные дополнительные общеобразовательные программы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2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«Знание»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условий для организации образования обучающихся с ограниченными возможностями здоровья (ОВЗ), с инвалидностью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22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информационной открытости, доступности информации об организации образования обучающихся с ОВЗ, с инвалидностью (за исключением персональной информации, в том числе о состоянии здоровья обучающихся)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Информационный блок на официальном сайте общеобразовательной организации с регулярно обновляемой информацией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3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«Знание»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условий для организации образования обучающихся с ограниченными возможностями здоровья (ОВЗ), с инвалидностью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23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Учебно-дидактическое обеспечение обучения и воспитания по федеральным адаптированным образовательным программам (при наличии обучающихся с ОВЗ и в соответствии с рекомендованными психолого-медико-педагогической комиссией вариантами адаптированных образовательных программ)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Обеспечено учебниками и учебными пособиями в полном объеме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2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«Знание»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условий для организации образования обучающихся с ограниченными возможностями здоровья (ОВЗ), с инвалидностью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Невыполнение управленческой командой общеобразовательной организации административной функции контроля за своевременным учебно-дидактическим обеспечением обучения и воспитания по федеральным адаптированным образовательным программам (при наличии обучающихся с ОВЗ и в соответствии с рекомендованными психолого-медико-педагогической комиссией вариантами адаптированных образовательных программ).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анализа обеспеченности образовательной организации учебниками и учебными пособиями с целью выявления потребностей.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Осуществление своевременной подачи заявок на обеспечение учебниками и учебно-дидактическое пособиями в полном объеме для организации обучения и воспитания по федеральным адаптированным образовательным программам (при наличии обучающихся с ОВЗ и в соответствии с рекомендованными психолого-медико-педагогической комиссией вариантами адаптированных образовательных программ).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Осуществление контроля за своевременным обеспечением учебниками и учебно-дидактическими пособиями в полном объеме для организации обучения и воспитания по федеральным адаптированным образовательным программам (при наличии обучающихся с ОВЗ) и в соответствии с рекомендованными психолого-медико-педагогической комиссией вариантами адаптированных образовательных программ).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приобретения учебников для инклюзивного образования.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24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специальных технических средств обучения (далее ‒ТСО) индивидуального и коллективного пользования (при наличии в общеобразовательной организации обучающихся с ОВЗ, с инвалидностью)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Не предусмотрено  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0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«Знание»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условий для организации образования обучающихся с ограниченными возможностями здоровья (ОВЗ), с инвалидностью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Невыполнение управленческой командой общеобразовательной организации административной функции контроля за наличием ТСО индивидуального и коллективного пользования, автоматизированных рабочих мест (при наличии в общеобразовательной организации обучающихся с ОВЗ, с инвалидностью).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анализа оснащенности образовательной организации специальными техническими средствами обучения индивидуального и коллективного пользования с целью выявления потребностей.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Осуществление своевременной подачи заявок на оснащение ТСО, автоматизированных рабочих мест и классов для обучающихся с ОВЗ, с инвалидностью.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контроля наличия ТСО, индивидуального и коллективного пользования, автоматизированных рабочих мест (при наличии в общеобразовательной организации обучающихся с ОВЗ, с инвалидностью)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приобретения ТСО рабочих мест для обучающихся с ОВЗ, с инвалидностью.</w:t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25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Применение электронных образовательных ресурсов и дистанционных образовательных технологий в образовании обучающихся с ОВЗ, с инвалидностью (при наличии обучающихся с ОВЗ, с инвалидностью)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предусмотрено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0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«Знание»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условий для организации образования обучающихся с ограниченными возможностями здоровья (ОВЗ), с инвалидностью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ЭОР не используются в образовательной деятельности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в рабочих программах учебных предметов, учебных курсов (в том числе внеурочной деятельности), учебных модулей  возможности использования  электронных (цифровых) образовательных ресурсов, являющихся учебно-методическими материалами (мультимедийные программы, электронные учебники и задачники, электронные библиотеки, виртуальные лаборатории, игровые программы, коллекции цифровых образовательных ресурсов), используемыми для обучения и воспитания различных групп пользователей, представленными в электронном (цифровом) виде и реализующими дидактические возможности ИКТ, содержание которых соответствует законодательству об образовании.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административного контроля использования ЭОР в образовательной деятельности.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Недостаточный уровень профессиональных компетенций команды руководителей   в выполнении функций по администрированию деятельности и управлению образовательной деятельностью общеобразовательной организации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требований ФГОС общего образования по реализации ООП в части использования современных дидактических средств в организации образовательной деятельности.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Модернизация методической деятельности в образовательной организации по развитию компетенций педагогических работников в вопросах использования электронных образовательных ресурсов и дистанционных образовательных технологий в образовании обучающихся с ОВЗ, с инвалидностью (при наличии обучающихся с ОВЗ, с инвалидностью).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Низкий уровень образовательно-педагогической компетентности педагогических работников в применении электронных образовательных ресурсов и дистанционных образовательных технологий в образовании обучающихся с ОВЗ, с инвалидностью (при наличии обучающихся с ОВЗ, с инвалидностью)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адресной организационно-методической помощи, внедрения методологий тьюторства, менторства и наставничества для персонифицированной помощи педагогическим работникам в вопросах использования электронных образовательных ресурсов и дистанционных образовательных технологий в образовании обучающихся с ОВЗ, с инвалидностью (при наличии обучающихся с ОВЗ, с инвалидностью).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Обучение на курсах повышения квалификации, во внутрикорпоративных форматах обучения (вебинары, семинары, круглые столы, конференции, проблемные, творческие группы и др.) организации образовательной деятельности с использованием электронных образовательных ресурсов и дистанционных образовательных технологий в образовании обучающихся с ОВЗ, с инвалидностью (при наличии обучающихся с ОВЗ, с инвалидностью).</w:t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26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условий для профессионального развития и совершенствования профессиональных компетенций педагогических работников в части обучения и воспитания обучающимися с ОВЗ, с инвалидностью (за три последних года)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Не менее 50% педагогических работников прошли обучение  (за три последних года)   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«Знание»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условий для организации образования обучающихся с ограниченными возможностями здоровья (ОВЗ), с инвалидностью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Слабый контроль за своевременным обучением педагогов на КПК по вопросам профессионального развития и совершенствования профессиональных компетенций педагогических работников в части обучения и воспитания обучающимися с ОВЗ, с инвалидностью.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административного контроля за своевременным обучением педагогов на КПК по вопросам профессионального развития и совершенствования профессиональных компетенций педагогических работников в части обучения и воспитания  обучающимися с ОВЗ, с инвалидностью.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Недостаток профессиональных компетенций педагогических работников в части обучения и воспитания обучающихся с ОВЗ, с инвалидностью.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системы материального и нематериального стимулирования педагогических работников для профессионального развития и совершенствования профессиональных компетенций педагогических работников в части обучения и воспитания  обучающихся с ОВЗ, с инвалидностью.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систематического повышения квалификации педагогов по вопросам профессионального развития и совершенствования профессиональных компетенций педагогических работников в части обучения и воспитания  обучающимися с ОВЗ, с инвалидностью.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Модернизация методической службы с целью формирования пространства развития профессионально-личностных компетенций (предметные, методические, информационные, цифровые, психолого-педагогические, коммуникативные и др.) педагогических работников в части обучения и воспитания обучающихся с ОВЗ, с инвалидностью для решения задач: - создание условий для организация неформального образования (вебинары, семинары, круглые столы, конференции, проблемные, творческие, научно-исследовательские группы, коллективы и т. д.);    актуализации значимости информального образования, самообразования и т.д.); -профилактика профессионального выгорания, готовности каждого педагогического работника к продуктивному решению новых педагогических задач; - методическое сопровождение педагогических работников с выявленными профессиональными дефицитами, - адаптация молодых специалистов к педагогической деятельности в условиях реализации программ инклюзивного образования;  - внедрение системы (целевой модели) наставничества, имеющей точечный, индивидуализированный и персонализированный характер, ориентированной на конкретного педагога для решения/преодоления его личностных, профессиональных и социальных проблем; - развитие форм «горизонтального обучения», профессионального взаимодействия (профессиональные сообщества педагогов, сетевые объединения по разным направлениям деятельности, территориальные предметные/межпредметные объединения, сетевые пары, межшкольные творческие группы, межшкольные педагогические советы и др.); - взаимодействие с «флагманами образования», стажировочными, инновационными площадками, образовательными организациями, имеющими опыт достижения позитивных результатов в обучении и воспитании обучающихся с ОВЗ, с инвалидностью.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банка методов, приемов, технологий, обеспечивающих успешность обучающихся с ОВЗ, с инвалидностью.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27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Трансляция опыта образовательной организации в вопросах образования обучающихся с ОВЗ, с инвалидностью на семинарах, тренингах, конференциях и иных мероприятиях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Проводится эпизодически (отдельные мероприятия)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«Знание»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условий для организации образования обучающихся с ограниченными возможностями здоровья (ОВЗ), с инвалидностью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Недостаточный уровень профессиональных компетенций педагогических работников для трансляции опыта в вопросах образования обучающихся с ОВЗ, с инвалидностью на семинарах, тренингах, конференциях и иных мероприятиях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совершенствования профессиональных компетенций и последующих действий по трансляция опыта образовательной организации в вопросах образования обучающихся с ОВЗ, с инвалидностью.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методического сопровождения педагогических работников, готовых к трансляции опыта образовательной организации в вопросах образования обучающихся с ОВЗ, с инвалидностью на семинарах, тренингах, конференциях и иных мероприятиях.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системной деятельности по  обеспечению достижения показателей, позволяющих трансляцию эффективного опыта образовательной организации в вопросах образования обучающихся с ОВЗ, с инвалидностью: - создание банка методов, приемов, технологий, обеспечивающих успешность обучающихся с ОВЗ, с инвалидностью;   - создание системы тренинговых мер по подготовке к трансляции опыта образовательной организации в вопросах образования обучающихся с ОВЗ, с инвалидностью:  - организация обмена опытом с педагогическими работниками других образовательных организаций по организационно-методическим формам обучения детей с ОВЗ, с инвалидностью; - организация участия педагогических работников во внутришкольных обучающих мероприятиях по обсуждению вопросов обучения и воспитания  обучающихся с ОВЗ, с инвалидностью - на семинарах, тренингах, конференциях и др. - проведение межшкольных педагогических советов, методических мероприятий; - участие в муниципальных/краевых/федеральных методических событиях.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28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бесплатным горячим питанием учащихся начальных классов (критический показатель для образовательных организаций, реализующих образовательные программы начального общего образования)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100% обучающихся начальных классов обеспечены горячим питанием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«Здоровье»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Здоровьесберегающая среда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29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просветительской деятельности, направленной на формирование здорового образа жизни (далее &amp;ndash; ЗОЖ), профилактика табакокурения, употребления алкоголя и наркотических средств. (критический показатель)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общешкольной программы работы по противодействию и профилактике вредных привычек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«Здоровье»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Здоровьесберегающая среда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30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Количество школьных просветительских мероприятий по ЗОЖ, по профилактике курения табака, употребления алкоголя и наркотических средств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Более 5 мероприятий за учебный год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3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«Здоровье»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Здоровьесберегающая среда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31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Реализация программы здоровьесбережения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общешкольной программы здоровьесбережения и ее полноценная реализация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2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«Здоровье»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Здоровьесберегающая среда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32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в образовательной организации спортивной инфраструктуры для занятий физической культурой и спортом, в том числе, доступной населению (в том числе на основе договоров сетевого взаимодействия)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Да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«Здоровье»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условий для занятий физической культурой и спортом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33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Диверсификация деятельности школьных спортивных клубов (далее &amp;ndash; ШСК) (по видам спорта)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От 1 до 4 видов спорта в ШСК  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«Здоровье»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условий для занятий физической культурой и спортом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Отсутствие сетевой формы реализации программы.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Определение сетевых партнеров (предприятия, организации) в ближайшем окружении или дистанционно, которые могли бы предоставить школе ресурсы (профессиональные кадры, материально-техническую базу, образовательные ресурсы).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в программе воспитания в разделе "Виды, формы и содержание воспитательной деятельности" вариативного модуля "Школьные спортивные клубы", планирование мероприятий.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квалифицированных специалистов.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привлечения специалистов из числа родителей, студентов вузов (4-5 курс).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прохождения педагогами курсовой подготовки, профессиональной переподготовки; направление выпускников на целевое обучение.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квалифицированных специалистов посредством сетевой формы реализации программы.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Несформированность организационно-управленческих компетенций управленческой команды.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корпоративного обучения управленческой команды.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спортивного зала, соответствующего требованиям СанПин, отсутствие спортивной инфраструктуры для занятий физической культурой и спортом.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материально-технической базы для организации спортивной инфраструктуры в соответствии с требованиями СанПин.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Заключение договоров сетевого взаимодействия с образовательными организациями для использования их материально-технических ресурсов/помещений.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Определение сетевых партнеров (предприятия, организации) в ближайшем окружении или дистанционно, которые могли бы предоставить школе ресурсы (профессиональные кадры, материально-техническую базу, образовательные ресурсы).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Созданный в общеобразовательной организации спортивный клуб не включен в Единый Всероссийский реестр школьных спортивных клубов.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работы по включению школьного спортивного клуба в Единый Всероссийский реестр школьных спортивных клубов.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Недостаточная работа по формированию мотивации у обучающихся и их родителей к посещению школьных спортивных клубов.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деятельности по проведению мероприятий, стимулирующих спортивные достижения обучающихся, интерес к физкультурно-спортивной деятельности.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разъяснительной работы с родителями (законными представителями) и обучающимися по привлечению к посещению занятий физической культурой и спортом, в том числе посещению спортивных секций, школьных спортивных клубов.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34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дополнительных образовательных услуг в области физической культуры и спорта; доля обучающихся, постоянно посещающих занятия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30% и более обучающихся постоянно посещают занятия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3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«Здоровье»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условий для занятий физической культурой и спортом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35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Участие обучающихся в массовых физкультурно-спортивных мероприятиях (в том числе во Всероссийских спортивных соревнованиях школьников Президентские состязания и Всероссийских спортивных играх школьников Президентские спортивные игры)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Участие обучающихся в спортивных мероприятиях на муниципальном уровне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2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«Здоровье»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условий для занятий физической культурой и спортом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Отсутствие системы работы по популяризации спорта; включенности массовой спортивной деятельности в образовательную программу.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обновления содержания программы воспитания, включая календарный план воспитательной работы.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детско-взрослой событийной общности.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Недостаточная работа по привлечению обучающихся к участию в массовых физкультурно-спортивных мероприятиях.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мониторинга участия обучающихся в массовых физкультурно-спортивных мероприятиях.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обучающихся к участию в массовых физкультурно-спортивных мероприятиях.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сообщества обучающихся и педагогических работников.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системы мотивирования/стимулирования обучающихся к участию в массовых физкультурно-спортивных мероприятиях.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Выявление высокомотивированных обучающихся, желающих участвовать в массовых физкультурно-спортивных мероприятиях.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индивидуальной работы с обучающимися, участвующими в массовых физкультурно-спортивных мероприятиях.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Несформированность организационно-управленческих компетенций управленческой команды.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корпоративного обучения управленческой команды.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материально-технической базы для проведения массовых физкультурно-спортивных мероприятий.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Определение сетевых партнеров (предприятия, организации) в ближайшем окружении или дистанционно, которые могли бы предоставить школе ресурсы (профессиональные кадры, материально-техническую базу, образовательные ресурсы).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спонсоров, родительской общественности, рациональное использование средств в рамках ПФХД, развитие платных образовательных услуг.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профессиональных дефицитов у педагогических работников.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прохождения курсовой подготовки педагогов по вопросам подготовки обучающихся к соревнованиям.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Отсутствие системы мотивации педагогических работников.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системы мотивирования/стимулирования педагогических работников по подготовке обучающихся к спортивным мероприятиям.</w:t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36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победителей и призеров спортивных соревнований (в том числе во Всероссийских спортивных соревнованиях школьников Президентские состязания и Всероссийских спортивных играх школьников Президентские спортивные игры)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победителей и (или) призеров на муниципальном уровне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«Здоровье»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условий для занятий физической культурой и спортом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Отсутствие системы работы по популяризации спорта; включенности массовой спортивной деятельности в образовательную программу.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обновления содержания программы воспитания, включая календарный план воспитательной работы.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детско-взрослой событийной общности.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профессиональных дефицитов у педагогических работников.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прохождения курсовой подготовки педагогов по вопросам подготовки обучающихся к соревнованиям.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Отсутствие системы мотивации педагогических работников.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системы мотивирования/стимулирования педагогических работников по подготовке обучающихся к спортивным мероприятиям.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материально-технической базы для проведения массовых физкультурно-спортивных мероприятий.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Определение сетевых партнеров (предприятия, организации) в ближайшем окружении или дистанционно, которые могли бы предоставить школе ресурсы (профессиональные кадры, материально-техническую базу, образовательные ресурсы).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спонсоров, родительской общественности, рациональное использование средств в рамках ПФХД, развитие платных образовательных услуг.</w:t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37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Доля обучающихся, получивших знак отличия Всероссийского физкультурно-спортивного комплекса Готов к труду и обороне (далее ‒ ВФСК ГТО) в установленном порядке, соответствующий его возрастной категории на 1 сентября отчетного года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Менее 10% обучающихся, имеющих знак отличия ВФСК «ГТО», подтвержденный удостоверением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«Здоровье»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условий для занятий физической культурой и спортом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Недостаточная работа по привлечению обучающихся к участию во Всероссийском физкультурно-спортивном комплексе «Готов к труду и обороне».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мониторинга участия обучающихся во Всероссийском физкультурно-спортивном комплексе «Готов к труду и обороне».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системы мотивирования/стимулирования обучающихся к участию во Всероссийском физкультурно-спортивном комплексе «Готов к труду и обороне».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системы мотивации педагогических работников по подготовке обучающихся к участию во Всероссийском физкультурно-спортивном комплексе «Готов к труду и обороне».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системы мотивирования/стимулирования педагогических работников по подготовке обучающихся к спортивным мероприятиям.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Учителя не владеют технологией формирования и развития умений и навыков, необходимых для участия во Всероссийском физкультурно-спортивном комплексе «Готов к труду и обороне».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обучения педагогов по вопросам формирования и развития умений и навыков, необходимых для участия во Всероссийском физкультурно-спортивном комплексе «Готов к труду и обороне».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Кадровый дефицит по подготовке обучающихся к участию во Всероссийском физкультурно-спортивном комплексе «Готов к труду и обороне».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специалистов из других организаций для подготовки обучающихся к участию во Всероссийском физкультурно-спортивном комплексе «Готов к труду и обороне».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Недостаточное информирование обучающихся об участии во Всероссийском физкультурно-спортивном комплексе «Готов к труду и обороне». Отсутствие соответствующих знаний о правилах и порядке проведения процедуры сдачи Всероссийского физкультурно-спортивного комплекса ГТО.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просветительской работы о порядке участия во Всероссийском физкультурно-спортивном комплексе «Готов к труду и обороне» и преимуществах обладателей удостоверений ГТО.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38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Доля обучающихся, охваченных дополнительным образованием в общей численности обучающихся(критический показатель)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77% и более обучающихся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3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«Творчество»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Развитие талантов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39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Реализация дополнительных общеобразовательных программ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Программы разработаны и реализуются по 6 направленностям  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3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«Творчество»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Развитие талантов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40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технологических кружков на базе общеобразовательной организации и/или в рамках сетевого взаимодействия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Отсутствие 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0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«Творчество»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Развитие талантов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Отсутствуют педагогические кадры для реализации дополнительных общеобразовательных программ технической и естественно-научной направленностей.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Направление запроса в ЦНППМ на формирование ИОМ для педагога.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обучения педагогических работников, профессиональной переподготовки кадров.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к реализации образовательных программ "Кружка НТИ" специалистов, имеющих среднее профессиональное или высшее образование, отвечающее квалификационным требованиям, указанным в квалификационных справочниках, и (или) профессиональным стандартам.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к реализации дополнительных общеобразовательных программ обучающихся по образовательным программам высшего образования по специальностям и направлениям подготовки, соответствующим направлениям дополнительных общеобразовательных программ, реализуемых технологическим кружком, и успешно прошедших промежуточную аттестацию не менее чем за два года обучения.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Кадровое обеспечение (организация обучения педагогических работников, привлечение квалифицированных специалистов из других организаций, предприятий) для работы кружков технической и естественно-научной направленностей.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организована сетевая форма реализации дополнительных общеобразовательных программ технической и естественно-научной направленностей.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мониторинга ресурсов внешней среды для реализации программ дополнительного образования.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Заключение договоров о реализации программ дополнительного образования в сетевой форме.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 планировании реализации программ технологического "Кружка НТИ",  организация образовательной деятельности в сетевой форме с привлечением ресурсов детских технопарков "Кванториум", мобильных технопарков "Кванториум", центров цифрового образования "IT-куб", центров "Дом научной коллаборации" и прочих организаций, деятельность которых направлена на развитие технического творчества обучающихся (в случае отсутствия у общеобразовательной организации необходимого оборудования, средств обучения и воспитания).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Отсутствует материально-техническое оснащение, помещения, необходимые для реализации дополнительных общеобразовательных программ технической и естественно-научной направленностей.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Обеспечить деятельность по привленчению внебюджетного финансирования для восполнения ресурсов.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Организовать проведение мониторинга условий/ресурсов (материальных, информационно-технических, кадровых) для организации на базе общеобразовательной организации кружков технической и естественно-научной направленностей.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Материально-техническое обновление образовательной среды, приспособление помещений, использование возможностей трансформирования, зонирования школьного пространства, использование/приобретение высокотехнологичного оборудования для организации работы кружков технологической и естественно-научной направленности.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 планировании реализации программ технологического "Кружка НТИ",  организация образовательной деятельности в сетевой форме с привлечением ресурсов детских технопарков "Кванториум", мобильных технопарков "Кванториум", центров цифрового образования "IT-куб", центров "Дом научной коллаборации" и прочих организаций, деятельность которых направлена на развитие технического творчества обучающихся (в случае отсутствия у общеобразовательной организации необходимого оборудования, средств обучения и воспитания).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профессиональных дефицитов у заместителя директора по воспитательной работе в выполнении трудовой функции по администрированию деятельности общеобразовательной организации в части организации дополнительного образования в общеобразовательной организации.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повышения квалификации заместителя директора по воспитательной работе по вопросам организации дополнительного образования в общеобразовательной организации, сетевого взаимодействия.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дополнительных общеобразовательных программ технической и естественно-научной направленностей.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Анализ дополнительных образовательных программ на предмет качества их содержания, соответствия интересам и образовательных потребностям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разработки дополнительных общеобразовательных программ технической и естественно-научной направленностей.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Недостаточная работа по формированию интереса и мотивации обучающихся и их родителей (законных представителей) в обучении детей по программам технологической направленности.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мониторинга образовательных потребностей обучающихся в обучении по дополнительным общеобразовательным программ технической и естественно-научной направленностей.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Выявление, поддержка и развитие интеллектуальных способностей и талантов обучающихся к научно-техническому творчеству, обеспечение условий для профессиональной ориентации обучающихся, создание сообщества обучающихся и педагогических работников, активно вовлеченных в проекты Кружкового движения.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разработана программа технологического кружка.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программы технологического кружка в рамках дополнительного образования.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программы технологического кружка в рамках дополнительного образования, реализуемой в сетевой форме при участии представителей работодателей и общественно-деловых объединений, наставников из числа представителей Ассоциации кружков, иных заинтересованных лиц.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программы технологического кружка в рамках внеурочной деятельности.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определен формат организации кружка технической направленности на базе образовательной организации для детей в возрасте от 10 до 18 лет по направлениям НТИ в соответствии с имеющимися у образовательной организации кадровыми и материально-техническими ресурсами.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Утверждение формата организации кружка технической направленности на базе общеобразовательной организации для детей в возрасте от 10 до 18 лет по направлениям НТИ (аэронет, автонет, маринет, нейронет, хелснет, фуднет, энерджинет, техиет, сэйфнет и пр.) в соответствии с имеющимися у общеобразовательной организации кадровыми и материально-техническими ресурсами.</w:t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41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Участие обучающихся в конкурсах, фестивалях, олимпиадах (кроме Всероссийской олимпиады школьников), конференциях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Участие обучающихся в конкурсах, фестивалях, олимпиадах, конференциях на муниципальном уровне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2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«Творчество»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Развитие талантов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Не выстроена система выявления и развития одаренности.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локального нормативного акта, описывающего систему выявления и развития интеллектуальных и творческих способностей, талантов обучающихся (предусмотреть наличие разделов: диагностика, учет результатов диагностики, мероприятия по сопровождению и развитию).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мониторинга интересов и способностей обучающихся.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локального нормативного акта, регламентирующего мониторинг интересов обучающихся (предусмотреть наличие разделов: диагностика, учет результатов диагностики, мероприятия по сопровождению и развитию).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Выявление, поддержка и развитие интеллектуальных и творческих способностей и талантов обучающихся, интереса к научной (научно-исследовательской), инженерно-технической, изобретательской, творческой деятельности.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Недостаточная работа по привлечению обучающихся к участию в конкурсах, фестивалях, олимпиадах, конференциях.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мониторинга участия обучающихся в конкурсах, фестивалях, олимпиадах, конференциях.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условий для профессиональной ориентации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сообщества обучающихся и педагогических работников.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системы мотивирования/стимулирования обучающихся к участию в конкурсах, фестивалях, олимпиадах, конференциях.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Отсутствие системы мотивации педагогических работников.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системы мотивирования/стимулирования педагогических работников к участию обучающихся в конкурсах, фестивалях, олимпиадах, конференциях.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системы подготовки обучающихся к конкурсному движению.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локального нормативного акта, регламетирующего систему подготовки и участия обучающихся в конкурсном движении.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плана участия обучающихся образовательной организации в олимпиадах и иных интеллектуальных и (или) творческих конкурсах, мероприятиях в соответствии с  федеральным, региональным, муниципальным перечнями олимпиад и иных интеллектуальных и (или) творческих конкурсов, мероприятий.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мониторинга участия обучающихся и анализ результатов участия в конкурсах, фестивалях, олимпиадах, конференциях.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работы классных руководителей с мотивированными обучающимися, их родителями и учителями-предметниками.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индивидуальной и групповой работы учителей-предметников и педагогов дополнительного образования с мотивированными обучающимися; обучающимися, демонстрирующими результаты на конкурсах, фестивалях, олимпиадах, конференциях и иных мероприятиях.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ИУП для обучающихся, демонстрирующих результаты на конкурсах, фестивалях, олимпиадах, конференциях и иных мероприятиях.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психолого-педагогической поддержки участников конкурсов, фестивалей, олимпиад, конференций.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профессиональных дефицитов у заместителя директора по воспитательной работе в выполнении трудовой функции по администрированию деятельности общеобразовательной организации в части организации дополнительного образования в общеобразовательной организации, участия обучающихся в конкурсах, фестивалях, олимпиадах, конференциях.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повышения квалификации заместителя директора по воспитательной работе в части организации участия обучающихся в конкурсах, фестивалях, олимпиадах, конференциях и иных мероприятиях.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профессиональных дефицитов у педагогических работников, реализующих программы внеурочной деятельности и дополнительные образовательные программы, в части подготовки обучающихся к участию в конкурсах, фестивалях, олимпиадах, конференциях.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Направление запроса в ЦНППМ на формирование ИОМ для педагога в части подготовки обучающихся к участию в конкурсах, фестивалях, олимпиадах, конференциях.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Кадровый дефицит специалистов по дополнительному образованию детей. 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Направление запроса в ЦНППМ на формирование ИОМ для педагога.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обучения педагогических работников, профессиональной переподготовки кадров в части подготовки обучающихся к участию в конкурсах, фестивалях, олимпиадах, конференциях.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Устранение кадрового дефицита за счет своевременного выявления кадровых потребностей; развитие кадрового потенциала; осуществление профессиональной переподготовки по образовательным программам педагогической направленности; привлечение молодых специалистов дополнительного образования, привлечение квалифицированных специалистов из других организаций, предприятий.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Кадровое обеспечение (организация обучения педагогических работников, привлечение квалифицированных специалистов из других организаций, предприятий) для реализации образовательных программ, подготовки обучающихся к участию в конкурсах, фестивалях, олимпиадах, конференциях.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или недостаточное материально-техническое оснащение.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мониторинга условий/ресурсов (материальных, информационно-технических, кадровых) для организации технологических кружков на базе общеобразовательной организации.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Материально-техническое обновление образовательной среды, приспособление помещений, использование возможностей трансформирования, зонирования школьного пространства, использование/приобретение   высокотехнологичного оборудования для организации работы кружков технологической направленности.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Не разработаны программы, направленные на развитие интеллектуальных и творческих способностей и талантов обучающихся, интереса к научной (научно-исследовательской), инженерно-технической, изобретательской, творческой деятельности. 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программ внеурочной деятельности, направленных на развитие интеллектуальных и творческих способностей и талантов обучающихся, интереса к научной (научно-исследовательской), инженерно-технической, изобретательской, творческой деятельности.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дополнительных программ, направленных на развитие интеллектуальных и творческих способностей и талантов обучающихся, интереса к научной (научно- исследовательской), инженерно-технической, изобретательской, творческой деятельности.</w:t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42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победителей и призеров различных олимпиад (кроме ВСОШ), смотров, конкурсов, конференций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Наличие победителей и (или) призеров конкурсов, фестивалей, олимпиад, конференций на муниципальном уровне 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«Творчество»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Развитие талантов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Не выстроена система выявления и развития интеллектуальных и творческих способностей и талантов обучающихся, интереса к научной (научно-исследовательской), инженерно-технической, изобретательской, творческой деятельности. 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разработки локального нормативного акта, описывающего систему выявления и развития интеллектуальных и творческих способностей и талантов обучающихся, интереса к научной (научно-исследовательской), инженерно-технической, изобретательской, творческой деятельности.   (предусмотреть наличие разделов: диагностика, учет результатов диагностики, меропрриятия по сопровождению и развитию).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Отсутствие системы мотивации педагогических работников.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Внесение в положение об оплате труда критиериев стимулирования педагогических работников за работу по выявленияю, сопровождению и развитию детской одаренности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предметных дефицитов педагогов, недостаточных профессиональный уровень для подготовки обучающихся к олимпиадам различного уровня (кроме ВСОШ), смотров, конкурсов, конференций.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Повышение квалификации педагогов в части устранения предметных дефицитов; повышение профессионального уровня для подготовки обучающихся к олимпиадам различного уровня, смотрам, конкурсам, конференциям разработка ИОМ педагога; привлечение специалистов высшего и среднего профессионального образования для подготовки обучающихся к олимпиадам различного уровня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Отсутствие системы мотивации педагогических работников.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системы мотивирования/стимулирования педагогических работников к участию обучающихся в конкурсах, фестивалях, олимпиадах, конференциях.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Недостаточная работа по формированию интереса обучающихся и их родителей (законных представителей) в части подготовки обучающихся к олимпиадам различного уровня.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ИУП обучающихся, демонстрирующих результаты на конкурсах, фестивалях, олимпиадах, конференциях и иных мероприятиях.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обучающихся к участию в конкурсах, фестивалях, олимпиадах, конференциях.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системы мотивирования/стимулирования педагогических работников и обучающихся к участию в конкурсах, фестивалях, олимпиадах, конференциях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системы подготовки обучающихся к конкурсному движению.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локального нормативного акта, регламетирующего систему подготовки и участию в конкурсном движении.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плана участия обучающихся образовательной организации в олимпиадах и иных интеллектуальных и (или) творческих конкурсах, мероприятиях в соответствии с  федеральным, региональным, муниципальным перечнями олимпиад и иных интеллектуальных и (или) творческих конкурсов, мероприятий.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мониторинга участия обучающихся и анализ результатов участия в конкурсах, фестивалях, олимпиадах, конференциях.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работы классных руководителей с мотивированными обучающимися, их родителями и учителями-предметниками.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индивидуальной и групповой работы учителей-предметников и педагогов дополнительного образования с мотивированными обучающимися.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ИУП обучающихся, демонстрирующих результаты на конкурсах, фестивалях, олимпиадах, конференциях и иных мероприятиях.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психолого-педагогической поддержки участников конкурсов, фестивалей, олимпиад, конференций.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профессиональных дефицитов у педагогических работников, реализующих программы внеурочной деятельности и дополнительные образовательные программы, в части подготовки обучающихся к участию в конкурсах, фестивалях, олимпиадах, конференциях.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Направление запроса в ЦНППМ на формирование ИОМ для педагога в части подготовки обучающихся к участию в конкурсах, фестивалях, олимпиадах, конференциях.</w:t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43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Сетевая форма реализации дополнительных общеобразовательных программ (организации культуры и искусств, кванториумы, мобильные кванториумы, ДНК, IT-кубы, Точки роста, экостанции, ведущие предприятия региона, профессиональные образовательные организации и образовательные организации высшего образования и др.)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Сетевая форма реализации дополнительных общеобразовательных программ с 1 организацией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«Творчество»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Развитие талантов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Низкий уровень организационно-управленческих компетенций управленческой команды.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Направление запроса в ЦНППМ на формирование ИОМ для руководителя (заместителя руководителя).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Повышение квалификации заместителя директора по воспитательной работев по вопросам выполнения трудовой функции по администрированию деятельности общеобразовательной организации в части организации  взаимодействия с организациями культуры и искусств, кванториумами, мобильными кванториумами, ДНК, «IT-кубами», «Точками роста», экостанциями, ведущими предприятиями региона, профессиональными образовательные организациями и образовательными организациями высшего образования и др.).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Недостаточная работа по формированию заинтересованности в сетевом взаимодействии педагогических работников, обучающихся и их родителей (законных представителей)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обучающихся к сетевой форме обучения по дополнительным общеобразовательным программам.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разработанных образовательных программ, реализующихся в сетевой форме, по всем шести направленностям.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ресурсных условий в общеобразовательной организации для обеспечения сетевого взаимодействия (нормативно-правовые, материально-, информационно-технические, кадровые).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взаимодействия в том числе в сетевой форме (заключение договоров) с организациями культуры и искусства, кванториумами, центрами «IT-кубы», «Точками роста», экостанциями, ведущими предприятиями региона, профессиональными образовательными организациями и образовательными организациями высшего образования и др.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Наличие профессиональных дефицитов у специалистов по дополнительному образованию детей в части организации сетевого взаимодействия.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обучения педагогических работников по реализации программ дополнительного образования в сетевой форме.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 реализации дополнительных образовательных программ образовательная организация не использует ресурсы других организаций, осуществляющих образовательную деятельность, а также научных, медицинских, физкультурно-спортивных организаций, организаций культуры и иных организаций, обладающих ресурсами, необходимыми для осуществления образовательной деятельности по соответствующей дополнительной общеобразовательной программе.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Планирование при разработке программ, реализуемых в сетевой форме, наряду со школой, учреждением дополнительного образования, СПО, вузами, участия организаций культуры и искусств, кванториумов, мобильных кванториумов, ДНК, «IT-кубы», «Точки роста», экостанций, ведущих предприятий региона и иных организаций, обладающих ресурсами, необходимыми для осуществления образовательной деятельности по дополнительным общеобразовательным программ.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Определение образовательных организаций-участников и (или) организаций, обладающих ресурсами.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Осуществление сетевой формы реализации программы на основании договора, заключенного между школой, и теми учреждениями, которые заинтересованы в реализации такой программы, в соответствии с целями и задачами образовательной организации, интересами и потребностями обучающихся.</w:t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44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Функционирование школьных творческих объединений (школьный театр, школьный музей, школьный музыкальный коллектив, школьный медиацентр (телевидение, газета, журнал) и др.)(критический показатель)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1‒2 объединения  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«Творчество»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Школьные творческие объединения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Несбалансированность системы внеурочной деятельности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Разработка/корректировка план внеурочной деятельности на основе методических рекомендаций Минпросвещения России.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Не сформирована система воспитательной работы школы.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Штабом воспитательной работы диверсификации палитры школьных творческих объединений.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Низкий уровень компетенций педагогических работников, непозволяющий реализовать палитру творческих объединений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Направление запроса в ЦНППМ на формирование ИОМ для педагогов.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Недостаточный уровень профессиональных компетенций управленческой команды в выполнении трудовых функций по созданию единого образовательного пространства, развития в общеобразовательной организации для реализации ключевых направлений образовательного организации.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повышения квалификации управленческой команды в части организации школьных творческих объединений.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созданы условия для функционирования школьных творческих объединений.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мониторинговых исследований:                                      ресурсных условий и материально-технических условий для организации школьных творческих объединений (школьный театр, школьный музей, школьный музыкальный коллектив, школьный медиацентр (телевидение, газета, журнал) и др.); интересов, склонностей, образовательных потребностей обучающихся в функционировании школьных творческих объединений (школьный театр, школьный музей, школьный музыкальный коллектив, школьный медиацентр (телевидение, газета, журнал) и др.); создания техносферы школы, материально-технического обновления образовательной среды посредством рационального использования школьных пространств–зданий, помещений (классы, залы, коридоры и т.д.), территорий, модернизации учебных помещений;  использования возможностей трансформирования, зонирования школьного пространства для обучающихся, мест для занятий творчеством, самодеятельностью, осуществления любой другой деятельности.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деятельности школьных творческих объединений в сетевой форме.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специалистов из других организаций к созданию и функционированию школьных творческих объединений (школьный театр, школьный музей, школьный музыкальный коллектив, школьный медиацентр (телевидение, газета, журнал) и др.)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обучающихся к участию в творческих  объединениях (школьный театр, школьный музей, школьный музыкальный коллектив, школьный медиацентр (телевидение, газета, журнал) и др.)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Информирование, привлечение родителей (законных представителей) к созданию творческих объединений (школьный театр, школьный музей, школьный музыкальный коллектив, школьный медиацентр (телевидение, газета, журнал) и др.)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системы мотивирования/стимулирования организаторов и участников творческих объединений (школьный театр, школьный музей, школьный музыкальный коллектив, школьный медиацентр (телевидение, газета, журнал) и др.).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45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Функционирование школьного театра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Функционирование школьного театра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«Творчество»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Школьные творческие объединения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46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Функционирование школьного музея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Функционирование школьного музея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«Творчество»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Школьные творческие объединения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47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Функционирование школьного хора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0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«Творчество»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Школьные творческие объединения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Низкий уровень компетенций педагогических работников, непозволяющий реализовать палитру творческих объединений.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Направление запроса в ЦНППМ на формирование ИОМ для  педагогов.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Отсутствие системы работы с детской инициативой.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положения о Штабе воспитательной работы, включающего порядок работы с детской инициативой.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Недостаточный уровень профессиональных компетенций управленческой команды в выполнении трудовых функций по созданию единого образовательного пространства, включая создание и функционирование школьного хора.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повышения квалификации управленческой команды в части создания единого образовательного пространства, включая создание и функционирование школьного хора.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педагогов, работающих в школьном хоре.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Внесение изменений в штатное расписание, введение должностей педагогических работников по Профстандарту «Педагог дополнительного образования детей и взрослых».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специалистов (учителя, педагоги дополнительного образования и т.п.) для работы в школьном хоре.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обучения педагогов по программам дополнительного профессионального образования в области создания школьного хора.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работы руководителя хора, концертмейстера, педагога-организатора и педагогического коллектива по функционированию Школьного хора.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Обучение (в том числе на базе организаций культуры и искусств) педагогических работников общеобразовательной организации для разработки и реализации программы школьного хора.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рабочих программ курсов внеурочной деятельности хоровой тематики.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программ внеурочной деятельности по хоровой тематике (по профилю «школьный хор») для обучающихся 1-4 классов, 5-7 классов, 7-9 классов, 9-11 классов в соответствии с целями и задачами образовательной организации, интересами и потребностями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материально-технических условий для реализации программы, организации деятельности школьного хора.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обучающихся к обучению по программе «Школьный хор», участию в художественной самодеятельности.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Изучение интересов, склонностей, образовательных потребностей обучающихся в функционировании школьного хора.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школьного хора как формы реализации дополнительных общеобразовательных программ.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Определение направления деятельности хорового коллектива (репертуар) в соответствии с целями и задачами образовательной организации, интересами и потребностями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педагогов дополнительного образования  для разработки и реализации дополнительной образовательной программы «Школьный хор».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дополнительных программы музыкальной направленности по направлению «Хоровое пение».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сетевой формы реализации программы школьного хора.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Осуществление сетевой формы реализации программы школьного хора на основании договора, заключенного между школой, и теми учреждениями, которые заинтересованы в реализации такой программы, в соответствии с целями и задачами образовательной организации, интересами и потребностями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взаимодействия (заключение договоров) с организациями культуры и искусств по привлечению специалистов (в том числе в сетевой дистанционной форме) для разработки и реализации дополнительной образовательной программы «Школьный хор».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при разработке программ, реализуемых в сетевой форме, наряду со школой, учреждением дополнительного образования, СПО, участие организаций культуры и искусства и иных организаций, обладающих ресурсами, необходимыми для осуществления образовательной деятельности по программе школьного хора.</w:t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48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Функционирование школьного медиацентра (телевидение, газета, журнал и др.)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0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«Творчество»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Школьные творческие объединения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Низкий уровень компетенций педагогических работников, непозволяющий реализовать палитру творческих объединений.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Направление запроса в ЦНППМ на формирование ИОМ для педагогов.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Недостаточный уровень профессиональных компетенций управленческой команды в выполнении трудовых функций по созданию единого образовательного пространства, включая создание и функционирования школьного медиа центра.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повышения квалификации управленческой команды в части создания единого образовательного пространства, включая создание и функционирование школьного медиацентра.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Внутриучрежденческая закрытость школьных объединений.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программы взаимодействия с муниципальными средствами массовой информации.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школьного медиацентра.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в программе воспитания в разделе "Виды, формы и содержание воспитательной деятельности" вариативного модуля "Школьные медиа", планирование мероприятий.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мониторинговых исследований возможностей, создание ресурсных условий для организации и функционирования школьного медиацентра (телевидение, газета, журнал и др.).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Изучение интересов, склонностей, образовательных потребностей обучающихся в функционировании школьного медиацентра (телевидение, газета, журнал и др.).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педагогов дополнительного образования  для разработки и реализации дополнительной образовательной программы «Школьный медиацентр».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материально-технических условий (помещений) для реализации программы, организации деятельности школьного медиацентра.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обучающихся к обучению по программе «Школьный медиацентр», участию в организации и функционирования школьного телевидения, газеты, журнала и др.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49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Доля обучающихся, являющихся членами школьных творческих объединений, от общего количества обучающихся в организации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30% и более обучающихся 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3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«Творчество»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Школьные творческие объединения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50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Количество мероприятий школьных творческих объединений: концерты, спектакли, выпуски газет, журналов и т. д. (для каждого школьного творческого объединения)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Более 2 в год (для каждого школьного творческого объединения)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2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«Творчество»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Школьные творческие объединения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51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Использование государственных символов при обучении и воспитании(критический показатель)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Да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3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«Воспитание»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воспитательной деятельности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52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Реализация рабочей программы воспитания, в том числе для обучающихся с ОВЗ(критический показатель)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Да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«Воспитание»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воспитательной деятельности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53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Реализация календарного плана воспитательной работы(критический показатель)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Да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«Воспитание»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воспитательной деятельности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54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Функционирование Совета родителей(критический показатель)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Да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«Воспитание»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воспитательной деятельности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55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советника директора по воспитанию и взаимодействию с детскими общественными объединениями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Нет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0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«Воспитание»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воспитательной деятельности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 штатном расписании не предусмотрена должность педагогического работника с наименованием «советник директора по воспитанию и взаимодействию с детскими общественными объединениями».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положения о кадровом резерве образовательной организации.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Выдвижение кандидатов (имеющих опыт и заслуги в образовательной сфере) на должность советника директора по воспитанию и взаимодействию с детскими общественными объединениями.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поиска кандидатов на должность советника директора по воспитанию и взаимодействию с детскими общественными объединениями.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подготовки  кадров-претендентов на должность советника директора по воспитанию и взаимодействию с детскими общественными объединениями.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Введение в штатное расписаниие должности «советник директора по воспитанию и взаимодействию с детскими общественными объединениями».</w:t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56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Взаимодействие образовательной организации и родителей в процессе реализации рабочей программы воспитания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Осуществляется с использованием регламентированных и неформальных форм взаимодействия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2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«Воспитание»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воспитательной деятельности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организован административный контроль деятельности классных руководителей.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Внесение изменений в план административного контроля, учитывающие контроль деятельности классных руководителей.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Отсутствие открытости, системности в работе с родителями.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разработки и внедрения системы совместных мероприятий с родителями для  достижения большей открытости школы.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Родители не участвуют в разработке рабочей программы воспитания.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включенности родителей в разработку рабочей программы воспитания штабом воспитательной работы.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Включение в модуль работы с родителями рабочей программы воспитания мероприятий, направленных на вовлечение родителей в образовательную деятельность.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проекта, совместного с общественностью поселения/округа, коллегиальными органами управления (управляющими советами) с целью активизации работы с родительским сообществом, поиска и реализации способов вовлечения семей в образовательную деятельность.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 общеобразовательной организации не предусмотрена деятельность представителей родительского сообщества.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Внесение изменений в план методической работы, обеспечив изучение содержания федеральной рабочей программы воспитания в части взаимодействия образовательной организации и родителей.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деятельности в образовательной организации, в классах представительных органов родительского сообщества (родительского комитета общеобразовательной организации, классов), участвующих в обсуждении и решении вопросов воспитания и обучения.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 деятельности представителей родительского сообщества в Управляющем совете общеобразовательной организации.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Направление запроса в ЦНППМ на формирование ИОМ для руководителя (заместителя руководителя) в части организации взаимодействия образовательной организации и родителей в процессе реализации рабочей программы воспитания.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Отсутствует работа по регламентированным формам взаимодействия образовательной организации и родителей.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работы по регламентированным формам взаимодействия образовательной организации и родителей: функционирование родительского комитета, заседания попечительского совета, заседания родительского комитета, заседания Комиссии по урегулированию споров между участниками образовательных отношений, проведение родительских собраний.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тематических родительские собранияй в классах, общешкольных родительских собраний по вопросам воспитания, взаимоотношений обучающихся и педагогов, условий обучения и воспитания.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стимулируется развитие неформальных форм взаимодействия образовательной организации и родителей.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неформальных форм взаимодействия образовательной организации и родителей: групповые консультации родителей по различным вопросам развития и воспитания детей, педагогические лектории, родительские школы и университеты, родительские клубы, клубы выходного дня, мастер-классы, круглые столы по вопросам воспитания.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используется воспитательный потенциал взаимодействия с родителями (законными представителями) обучающихся в процессе реализации рабочей программы воспитания.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 родительских дней, в которые родители (законные представители) могут посещать уроки и внеурочные занятия.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работы семейных клубов, родительских гостиных, предоставляющих родителям, педагогам и обучающимся площадку для совместного досуга и общения, с обсуждением актуальных вопросов воспитания.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проведения тематических собраний (в том числе по инициативе родителей), на которых родители смогут получать советы по вопросам воспитания, консультаций психологов, врачей, социальных работников, служителей традиционных российских религий, обмен опытом.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 родительских форумов на интернет-сайте общеобразовательной организации, интернет-сообществ, групп с участием педагогов, для обсуждения интересующих родителей вопросов.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участия родителей в психолого-педагогических консилиумах в случаях, предусмотренных нормативными документами о психолого-педагогическом консилиуме в общеобразовательной организации в соответствии с порядком привлечения родителей (законных представителей).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привлечения родителей (законных представителей) к подготовке и проведению классных и общешкольных мероприятий.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целевого взаимодействие с законными представителями  детей-сирот, оставшихся без попечения родителей, приёмных детей.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трансляции опыта по взаимодействию образовательной организации и родителей в процессе реализации рабочей программы воспитания.</w:t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57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школьной символики (флаг школы, гимн школы, эмблема школы, элементы школьного костюма и т. п.)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0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«Воспитание»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воспитательной деятельности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Низкая организационная и творческая активность управления образовательной организацией.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проектной группы для проведения конкурса по разработке школьной символики.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основных характеристик уклада общеобразовательной организации: традиции и ритуалы, особые нормы этикета в общеобразовательной организации.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совместной деятельности педагогов, обучающихся, других участников образовательных отношений по созданию предметно-пространственной среды, поддержанию и использованию её в воспитательном процессе: - разработка и популяризация символики общеобразовательной организации (эмблема, флаг, логотип, элементы костюма обучающихся и т. п.), используемой как повседневно, так и в торжественные моменты.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инициативной группы обучающихся (Совет обучающихся, и т.п.), педагогических работников и других участников образовательных отношений по разработке школьной символики.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обучающихся, их родителей (законных представителей), педагогических работников к обсуждению дизайнерских и иных решений.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обеспечено использование школьной символики (флаг школы, гимн школы, эмблема школы, элементы школьного костюма и т. п.) при обучении и воспитании обучающихся.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актуализации рабочих программ по внеурочной деятельности, воспитательных планов, программ, проектов в вопросах использовании школьной символики (флаг школы, гимн школы, эмблема школы, элементы школьного костюма и т. п.)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рабочей группы по разработке комплекса мероприятий с обязательным использованием школьной символики.</w:t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58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Реализация программ краеведения и школьного туризма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Реализуются 1 программа краеведения и 1 программа школьного туризма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2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«Воспитание»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воспитательной деятельности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Недостаточно сформирована система работы административной команды с кадрами, отсутствие кадрового резерва и как, следствие, отсутствие специалиста, занимающегося вопросами организации туристско-краеведческой деятельности обучающихся.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положения о кадровом резерве общеобразовательной организации.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работы по привлечению специалистов других организаций (образовательных, социальных и др.).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Использование услуг туристско-экскурсионных и других организаций (туристские фирмы, спортивные клубы, индивидуальные предприниматели и т.д.) на основе заключенного договора об оказании туристских услуг.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повышения квалификации педагогических работников по вопросам организации краеведческой деятельности и школьного туризма.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Недостаточный уровень профессиональных компетенций управленческой команды в части организации реализации программы краеведения и школьного туризма.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Направление запроса в ЦНППМ на формирование ИОМ для заместителя руководителя в части организации реализации программы краеведения и школьного туризма.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Нет защищенных туристических объектов вблизи школы.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Использование возможностей участия в федеральном проекте «Классная страна», который аккумулирует передовые идеи по развитию детского туризма.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материально-технического оснащения для реализации программ по туризму, отсутствие необходимого личного и группового снаряжения.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Использование для закупки туристического оборудования средств грантов, спонсорской помощи.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Оптимизизация расходов, планирование материально-технического оснащения, необходимого для реализации программы краеведения или школьного туризма.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разработаны программы краеведения и школьного туризма в рамках внеурочной деятельности и/или дополнительного образования.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Интеграция туристско-краеведческой деятельности в программу воспитания общеобразовательной организации.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Анализ и экспертиза качества школьных программ краеведения и школьного туризма.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Принятие мер по привлечению и мотивации обучающихся к поисковой и краеведческой деятельности, детскому познавательному туризму.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деятельности рабочей группы по модернизации программ краеведения и школьного туризма: - реализация программ урочной и внеурочной деятельности, дополнительного образования по краеведению и школьному туризму; - организация профильных каникулярных отрядов, слетов, мастер-классов, экскурсий, конкурсов по краеведению и школьному туризму; - организация сетевого взаимодействия с организациями-партнерами, курирующими программы краеведения и школьного туризма в районе, крае.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систематического административного контроля реализации программ краеведения и школьного туризма в общеобразовательной организации.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59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летних тематических смен в школьном лагере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«Воспитание»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воспитательной деятельности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60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Функционирование Совета обучающихся(критический показатель)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«Воспитание»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Ученическое самоуправление, волонтерское движение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61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первичного отделения РДДМ Движение первых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0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«Воспитание»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Ученическое самоуправление, волонтерское движение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нормативного правового обеспечения организации деятельности первичного отделения РДДМ «Движение первых».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Создание/корректировка нормативных правовых актов по функционированию первичного отделения РДДМ «Движение первых».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функционирования первичного отделения РДДМ «Движение первых».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Недостаточно организована работа по вовлечению обучающихся в РДДМ «Движение первых».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первичного отделения РДДМ «Движение первых», избрание председателя первичного отделения РДДМ «Движение первых».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Назначение ответственного за формирование и функционирование первичного отделения РДДМ «Движение первых».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актуальных мер морального и материального стимулирования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Мотивация обучающихся к деятельности в первичном отделении РДДМ «Движение первых» путем создания имиджа РДДМ «Движение первых».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Принятие мер, направленных на развитие правовой и политической культуры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исследования по выявлению детей с лидерскими качествами.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советником директора по воспитанию и взаимодействию с детскими общественными объединениями информирования участников образовательных отношений о деятельности детских и молодежных общественных объединений и их значимости для формирования личности обучающихся.</w:t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62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центра детских инициатив, пространства ученического самоуправления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0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«Воспитание»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Ученическое самоуправление, волонтерское движение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Отсутствие концепции организации внутришкольного пространства.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Штабом воспитательной работы концепции организации внутришкольного пространства с учетом инфраструктурных возможностей образовательной организации.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Выделение помещения для деятельности ученического самоуправления (центра детских инициатив).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обучающихся, их родителей (законные представители), педагогических работников к обсуждению дизайнерских и иных решений.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Недостаточная работа по вовлечению обучающихся в активную деятельность в ученическом самоуправлении.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Принятие мер поддержки ученического самоуправления.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Мотивация обучающихся к деятельности в ученическом самоуправлении.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актуальных мер морального и материального стимулирования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Формирование ценностных ориентаций в области социального взаимодействия обучающихся: разработка мер и мероприятий.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Недостаток в организации деятельности центра детских инициатив, пространства ученического самоуправления и вовлечения обучающихся в деятельность центра детских инициатив.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центра детских инициатив.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Назначение ответственного за создание и функционирование центра детских инициатив, пространств ученического самоуправления.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работы с сетевыми партнерами с целью использования совместных ресурсов.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материально-технического оснащения, необходимого для работы центра детских инициатив, пространства ученического самоуправления.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63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Участие в реализации проекта Орлята России (при реализации начального общего образования)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Участие в проекте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«Воспитание»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Ученическое самоуправление, волонтерское движение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64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представительств детских и молодежных общественных объединений (Юнармия, Большая перемена и др.)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0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«Воспитание»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Ученическое самоуправление, волонтерское движение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Недостаток профессиональных компетенций заместителя директора по воспитанию в создании и организации деятельности детских и молодежных общественных объединений («Юнармия», «Большая перемена» и др.).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Направление запроса в ЦНППМ на формирование ИОМ для заместителя директора по воспитанию в части организации деятельности детских и молодежных общественных объединений.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Недостаточная работа по вовлечению обучающихся в деятельность представительств детских и молодежных общественных объединений («Юнармия», «Большая перемена».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представительств детских и молодежных общественных объединений («Юнармия», «Большая перемена» и др.).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разъяснительной работы среди обучающихся и родителей (законных представителей) о деятельности детских и молодежных общественных объединений («Юнармия», «Большая перемена» и др.).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работы по мотивации обучающихся к участию в молодежных общественных объединениях («Юнармия», «Большая перемена» и др.).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работы по вовлечению обучающихся в детские и молодежные общественные объединения.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актуальных мер морального и материального стимулирования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работы по формированию ценностных ориентаций обучающихся: разработка мер и мероприятий, включающих приобретение первоначального опыта обучающихся в работе общественных объединений.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условий для организации в школе представительств детских и молодежных общественных объединений («Юнармия», «Большая перемена» и др.).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советником директора по воспитанию и взаимодействию с детскими общественными объединениями информирования участников образовательных отношений о деятельности детских и молодежных общественных объединений («Юнармия», «Большая перемена» и др.) и их значимости для формирования личности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работы по вовлечению обучающихся и педагогов в конкурс «Большая перемена».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 программе воспитания не предусмотрена организация детских и молодежных общественных объединений.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в программе воспитания в разделе "Виды, формы и содержание воспитательной деятельности" вариативного модуля "Детские общественные объединения", планирование мероприятий в рамках модуля.</w:t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65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Участие обучающихся в волонтерском движении (при реализации основного общего и (или) среднего общего образования)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Обучающиеся не участвуют в волонтерском движении           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0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«Воспитание»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Ученическое самоуправление, волонтерское движение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Недостаток профессиональных компетенций заместителя директора по воспитанию, классных руководителей, педагогических работников в организации волонтерского движения. 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Направление запроса в ЦНППМ на формирование ИОМ для заместителя директора по воспитанию, классных руководителей в части организации волонтерского движения.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обучения педагогических работников по овладению технологиями организации волонтёрской деятельности.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Недостаточная работа по вовлечению обучающихся в волонтерское движение.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представительств детских и молодежных общественных объединений в образовательной организации.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мероприятий, стимулирующих развитие интереса к волонтерскому движению: проведение комплекса мер по активизации обучающихся в волонтёрском движении.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разъяснительной работы для повышения мотивации обучающихся к участию в волонтерском движении.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формирования позитивных ценностных ориентаций волонтерского движения.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актуальных мер морального и материального стимулирования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системы поощрения проявлений активной жизненной позиции и социальной успешности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советником директора по воспитанию и взаимодействию с детскими общественными объединениями информирования участников образовательных отношений о волонтерском движении и его значимости для формирования личности обучающихся.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 программе воспитания не предусмотрена организация волонтерского движения в образовательной организации.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в программе воспитания в разделе "Виды, формы и содержание воспитательной деятельности"  вариативного модуля "Добровольческая деятельность (волонтёрство)", определение целевых ориентиров гражданского воспитания, планирование мероприятий.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участия членов детского общественного объединения в волонтерских акциях.</w:t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66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школьных военно-патриотических клубов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Отсутствие         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0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«Воспитание»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Ученическое самоуправление, волонтерское движение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обеспечено создание и деятельность военно-патриотического клуба.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нормативной правовой документации школьного военно-патриотического клуба ( Устав, Положение, программа деятельности, план работы и др.) 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плана создания школьного военно-патриотического клуба.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Определение приоритетных направлений в работе школьного военно-патриотического клуба. Формирование ценностных ориентаций обучающихся: разработка мер и мероприятий.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Назначение руководителя школьного военно-патриотического клуба.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Формирование Совета школьного военно-патриотического клуба.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Отсутствует помещение, необходимое для работы школьного военно-патриотического клуба.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Материально-техническое обновление образовательной среды, приспособление помещений, использование возможностей трансформирования, зонирования школьного пространства для организации работы военного-патриотического клуба.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Заключение договора о сотрудничестве с организациями: - образовательной  организацией, на базе которой будет работать военно-патриотический клуб (в договоре указывается, какое оборудование может использовать педагог в рамках реализации программы); - организацией, оказывающей спонсорскую помощь клубу; - отделением ДОСААФ России.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Отсутствует материально-техническое оснащение, необходимое для работы школьного военно-патриотического клуба.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Оптимизация расходов, создание условий для организации в школе военно-патриотических клубов, планирование материально-технического оснащения, приобретение высокотехнологичного оборудования для организации работы военного-патриотического клуба.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Заключение договора о сотрудничестве с организациями: - образовательной  организацией, на базе которой будет работать военно-патриотический клуб (в договоре указывается, какое оборудование может использовать педагог в рамках реализации программы); - организацией, оказывающей спонсорскую помощь клубу; - отделением ДОСААФ России.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административного контроля деятельности советника директора по воспитанию и взаимодействию с детскими общественными объединениями.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Внесение в план административного контроля мероприятия по контролю деятельности советника директора по воспитанию и взаимодействию с детскими общественными объединениями.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Недостаток профессиональных компетенций заместителя директора по воспитанию, классных руководителей в организации деятельности школьного военно-патриотического клуба.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повышения квалификации заместителя директора по воспитанию, классных руководителей в части деятельности школьных патриотических клубов.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67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Реализация утвержденного календарного плана профориентационной деятельности в школе (в соответствии с календарным планом профориентационной деятельности, разработанным в субъекте РФ)(критический показатель)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Да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«Профориентация»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Сопровождение выбора профессии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68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Определение заместителя директора, ответственного за реализацию профориентационной деятельности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Да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«Профориентация»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Сопровождение выбора профессии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69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соглашений с региональными предприятиями/организациями, оказывающими содействие в реализации профориентационных мероприятий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Нет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0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«Профориентация»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Сопровождение выбора профессии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механизмов взаимодействия с региональными предприятиями/организациями, оказывающими содействие в реализации профориентационных мероприятий.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Определение сетевых партнеров (предприятия, организации) в ближайшем окружении или дистанционно, которые могли бы предоставить школе ресурсы (профессиональные кадры, материально-техническую базу, образовательные ресурсы).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Заключение соглашений с региональными образовательными организациями, предприятиями/организациями для использования ресурсов профессионально-производственной и образовательной среды, проведения совместных профориентационных мероприятий с целью  профессионального определения обучающихся, осознанного выбора обучающимися образовательно-профессиональных маршрутов, готовности к дальнейшему обучению и успешной социализации.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совместно с профессиональными учебными заведениями и работодателями инструментов развития образовательной экосистемы: образовательных ресурсов, гибких образовательных траекторий, нелинейного расписания с индивидуальным таймингом и  т. д.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Недостаточный уровень профессиональных компетенций управленческой команды по установлению внешних деловых связей.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Повышение уровня профессиональных компетенций управленческой команды по установлению внешних деловых связей,  взаимодействия с образовательными организациями, организациями высшего и среднего профессионального образования, предприятиями для использования ресурсов профессионально-производственной среды, проведения совместных профориентационных мероприятий.</w:t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70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профильных предпрофессиональных классов (инженерные, медицинские, космические, IT, педагогические, предпринимательские и др.)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Нет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0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«Профориентация»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Сопровождение выбора профессии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Недостаточный уровень работы с обучающимися по проведению системной подготовительной предпрофильной и предпрофессиональной работы в основной школе для обеспечения предварительного самоопределения обучающихся.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мониторинга по выявлению способностей, образовательных и профессиональных потребностей обучающихся в профильном обучении.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системной подготовительной предпрофильной и предпрофессиональной работы в основной школе для обеспечения предварительного самоопределения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информирования обучающихся об особенностях различных сфер профессиональной ориентации; сопровождение профессионального самоопределения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психолого-педагогического сопровождения обучающихся по определению дальнейшей образовательной траектории.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системы информационного, научно-методического сопровождения работы по предпрофильной подготовке и предпрофессиональному самоопределению обучающихся.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профильных предпрофессиональных классов, удовлетворяющих интересы и потребности обучающихся.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формирования профильных предпрофессиональных классов, в полной мере удовлетворяющих предпочтения и запросы обучающихся; рынка труда.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открытия профильных предпрофессиональных классов при поддержке предприятий и организаций муниципалитета/региона  их непосредственное участие в образовательной деятельности.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Актуализация требований локального нормативного акта (Положение об организации профильного обучения).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Актуализация должностных инструкций педагогических работников и управленческой команды с учетом положений профессиональных стандартов руководителя и педагогических работников общеобразовательных организаций.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самоаудита ресурсных условий (материально-технических, кадровых, информационных и др.) для реализации профильного обучения в образовательной организации.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Определение сетевых партнеров (предприятия, организации) в ближайшем окружении или дистанционно, которые могли бы предоставить школе ресурсы (профессиональные кадры, материально-техническую базу, образовательные ресурсы.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административного контроля организации профильного обучения.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анализа учебных планов профилей и индивидуальных учебных планов на предмет их соответствия требованиям ФГОС общего образования.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Недостаточный уровень профессиональных компетенций членов управленческой команды в организации и обеспечении профильного обучения, дифференциации и индивидуализации обучения.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Повышение уровня профессиональных компетенций членов управленческой команды в управлении формированием и функционированием системы методического и организационно-педагогического обеспечения профильного обучения, дифференциации и индивидуализации обучения.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Недостаточный уровень компетенций педагогических работников по преподаванию в профильных классах.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обучения педагогов по составлению индивидуальных учебных планов.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обучения педагогов на курсах повышения квалификации по преподаванию предметов на профильном уровне.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участия педагогов в профессиональных конкурсах и олимпиадах.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71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и использование дополнительных материалов по профориентации, в том числе мультимедийных, в учебных предметах общеобразовательного цикла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Да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«Профориентация»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Сопровождение выбора профессии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72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Посещение обучающимися экскурсий на предприятиях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Да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«Профориентация»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Сопровождение выбора профессии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73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Участие обучающихся в моделирующих профессиональных пробах (онлайн) и тестированиях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Да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«Профориентация»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Сопровождение выбора профессии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74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Посещение обучающимися экскурсий в организациях СПО и ВО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Да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«Профориентация»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Сопровождение выбора профессии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75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Посещение обучающимися профессиональных проб на региональных площадках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Да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«Профориентация»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Сопровождение выбора профессии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76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Посещение обучающимися занятий по программам дополнительного образования, в том числе кружков, секций и др., направленных на профориентацию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Нет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0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«Профориентация»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Сопровождение выбора профессии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Отсутствие реализуемых программ дополнительного образования, направленных на профориентацию.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Анализ потребностей обучающихся в обучении по программам дополнительного образования, в том числе в кружках, секциях и др., направленных на профориентацию.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программ дополнительного образования на основе потребностей обучающихся, организация работы кружков, секций с учетом потребностей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 отсутствии кадровых ресурсов использование ресурсов федеральных проектов «Успех каждого ребенка», центров «Точка роста», профориентационного минимума для организации обучения по программам дополнительного образования.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Внесение в должностные инструкции педагогов-психологов, заместителей, курирующих профориентационное направление, качественных и количественных характеристик планируемых результатов по программам дополнительного образования.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посещения обучающимися занятий по программам дополнительного образования, в том числе кружков, секций и др., направленных на профориентацию.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административного контроля за реализацией программ дополнительного образования, в том числе кружков, секций и др., направленных на профориентацию.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Недостаточная работа по формированию интереса и мотивации обучающихся и их родителей (законных представителей) в обучении детей по программам дополнительного образования, направленных на профориентацию.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Повышение мотивации обучающихся в посещении занятий по программам дополнительного образования, в том числе кружков, секций и др., направленных на профориентацию.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встреч обучающихся с представителями рабочих профессий и служащих; посещение обучающимися и родителями (законными представителями) дней открытых дверей.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проведения мероприятий профориентационной направленности по предпочтениям обучающихся в рамках реализации программы по воспитанию, программ по дополнительному образованию детей и подростков, по результатам исследования потребностей и интересов обучающихся  к определенным профессиям.</w:t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77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Прохождение обучающимися профессионального обучения по программам профессиональной подготовки по профессиям рабочих и должностям служащих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Нет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0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«Профориентация»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Сопровождение выбора профессии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сетевой формы реализации образовательной программы.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 профессионального обучения старшеклассников по профессиям рабочих и служащих с использованием собственной МТБ или МТБ предприятия реального сектора экономики с целью получения первой профессии одновременно с общим образованием.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Определение сетевых партнеров (предприятия, организации) в ближайшем окружении или дистанционно, которые могли бы предоставить школе ресурсы (профессиональные кадры, материально-техническую базу, образовательные ресурсы).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 рамках реализации программы по воспитанию организация  встреч обучающихся с представителями рабочих профессий и служащих; посещение обучающимися и родителями дней открытых дверей образовательных организаций высшего, среднего профессионального образования.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Недостаточный уровень управленческих компетенций по организации профессионального обучения обучающихся в общеобразовательной организации.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повышение уровня управленческих компетенций по выполнению трудовой функции управление образовательной организацией в части организации профессионального обучения обучающихся в общеобразовательной организации.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 </w:t>
            </w: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программ профессиональной подготовки по профессиям рабочих и должностям служащих.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условий  для получения лицензии на образовательную деятельность по основным программам профессионального обучения.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 мониторинга востребованных профессий в регионе, районе, городе, селе; кадровых потребностей современного рынка труда.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 мониторинга потребностей обучающихся в профессиональном обучении.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Анализ условий (инфраструктура), необходимых для реализации программ.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разработки/корректировки программ профессиональной подготовки по профессиям рабочих и должностям служащих с целью дальнейшей реализации их в школе.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подбора и подготовки педагогических кадров к реализации данных программ.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административного контроля за реализацией программ.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Повышение мотивации обучающихся к профессиональному обучению по программам профессиональной подготовки по профессиям рабочих и должностям служащих.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78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родительских собраний на тему профессиональной ориентации, в том числе о кадровых потребностях современного рынка труда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Да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«Профориентация»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Сопровождение выбора профессии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79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Участие обучающихся 6‒11 классов в мероприятиях проекта Билет в будущее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Да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«Профориентация»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Сопровождение выбора профессии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80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Участие обучающихся в чемпионатах по профессиональному мастерству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Нет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0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Магистральное направление «Профориентация»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Сопровождение выбора профессии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обеспечивается подготовка к участию в чемпионатах по профессиональному мастерству.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 в ОО системы подготовки к чемпионатам по профессиональному мастерству, включающую: назначение ответственного за работу; рассмотрение вопросов по подготовке к чемпионатам по профмастерству на заседаниях педагогического и методического советов; наличие в ОО системы поощрений педагогов, работающих в данном направлении.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условий для подготовки обучающихся к участию в чемпионатах по профессиональному мастерству: материально-техническое обновление образовательной среды, приспособление помещений, использование возможностей трансформирования, зонирования школьного пространства, использование/приобретение высокотехнологичного оборудования; кадровое обеспечение (организация обучения педагогических работников, привлечение квалифицированных специалистов из других организаций, предприятий); поиск финансовых средств (участие в грантах, конкурсах, обращение к спонсорам) для организации поездок из отдаленных сел к месту проведения чемпионатов по профессиональному мастерству.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Повышение мотивации обучающихся к участию в чемпионатах по профессиональному мастерству.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обеспечивается информирование обучающихся общеобразовательных организаций о целях и задачах Всероссийского чемпионатного движения по профессиональному мастерству.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сетевого взаимодействия общеобразовательных организаций с образовательными организациями среднего профессионального образования.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на региональном уровне участия обучающихся общеобразовательных организаций в профориентационных мероприятиях, проводимых в рамках регионального и отборочного (межрегионального) этапов Чемпионата по профессиональному мастерству «Профессионалы» и Чемпионата высоких технологий Всероссийского чемпионатного движения по профессиональному мастерству.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на региональном уровне увеличения охвата обучающихся общеобразовательных организаций субъектов Российской Федерации принявшие участие в открытых онлайн-уроках проекта «Шоу профессий», реализуемых с учетом опыта цикла открытых уроков «Проектория», направленных на раннюю профориентацию», проводимых в рамках федерального проекта «Успех каждого ребенка» национального проекта «Образование».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81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Использование единых подходов к штатному расписанию (количество административного персонала на контингент, узкие специалисты)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В организации используются единые подходы к штатному расписанию 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«Учитель. Школьная команда»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Условия педагогического труда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82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Предусмотрены меры материального и нематериального стимулирования (разработан школьный локальный акт о системе материального и нематериального стимулирования, соблюдаются требования локального акта)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Предусмотрены меры материального и нематериального стимулирования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«Учитель. Школьная команда»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Условия педагогического труда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83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Развитие системы наставничества (положение о наставничестве, дорожная карта о его реализации, приказы)(критический показатель)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Да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«Учитель. Школьная команда»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Методическое сопровождение педагогических кадров. Система наставничества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84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методических объединений / кафедр / методических советов учителей(критический показатель)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Да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«Учитель. Школьная команда»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Методическое сопровождение педагогических кадров. Система наставничества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85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методических объединений / кафедр / методических советов классных руководителей(критический показатель)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Да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«Учитель. Школьная команда»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Методическое сопровождение педагогических кадров. Система наставничества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86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Охват учителей диагностикой профессиональных компетенций (федеральной, региональной, самодиагностикой)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менее 50% учителей прошли диагностику профессиональных компетенций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2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«Учитель. Школьная команда»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Методическое сопровождение педагогических кадров. Система наставничества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Недостаточный охват учителей диагностикой профессиональных компетенций (федеральной, региональной, самодиагностикой).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разъяснительной работы с педагогическими кадрами по порядку  формам диагностики профессиональных дефицитов педагогических работников образовательных организаций с возможностью получения индивидуального плана в соответствии с распоряжением Минпросвещения России от 27.08.2021 № Р-201.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системы административных мер по организации проведения диагностических процедур, обеспечивающих выявление профессиональных дефицитов педагогических работников и последующие действия по их ликвидации, предупреждению.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Повышение мотивации педагогических работников к прохождению диагностики профессиональных компетенций.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способов стимулирования и поощрения педагогических работников, направленных на профилактику профессионального выгорания, повышение мотивации педагогических работников к прохождению диагностики профессиональных компетенций.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плана мероприятий по выявлению профессиональных затруднений и потребностей педагогов.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программы наставничества, в том числе реверсивного, организация «горизонтального» обучения педагогических работников.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адресного подхода со стороны администрации, проведение мероприятий по популяризации диагностикаи,  разъяснении ее роли в снижении уровня профессиональных дефицитов, ее влияния на дальнейшее профессиональное развитие.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самодиагностики профессиональных дефицитов на основании рефлексии профессиональной деятельности, на основе разработанного инструментария (анкета/чек-лист).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проведения диагностики профессиональных дефицитов на основании результатов профессиональной деятельности (экспертный анализ результатов в области обучения, воспитания, развития обучающихся).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проведения диагностики профессиональных дефицитов на основании экспертной оценки практической деятельности (участие в открытом мероприятии, его анализ и подготовка заключения о выявленных профессиональных дефицитах).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87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Доля учителей, для которых по результатам диагностики разработаны индивидуальные образовательные маршруты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 3% до 4% учителей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«Учитель. Школьная команда»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Методическое сопровождение педагогических кадров. Система наставничества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Низкая доля учителей, для которых по результатам диагностики профессиональных дефицитов разработаны ИОМ.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адресного методического сопровождения педагогических работников, нуждающихся в поддержке, сопровождении для преодоления профессиональных затруднений и дефицитов.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Выстраивание взаимодействия с различными структурами на региональном и (или) федеральном уровнях, обеспечивающими персональное сопровождение педагогических работников.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Выстраивание взаимодействия региональных методистов с руководителем образовательной организации и его заместителями, руководителями предметных методических объединений и педагогическими работниками, для которых необходима разработка ИОМ.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плана мероприятий по сопровождению педагогов, у которых выявлены профессиональные дефициты.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 анализа / самоанализа профессиональной деятельности педагогических работников.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участия представителей управленческой команды в в формировании ИОМ педагога.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мотивирующего административного контроля разработки и реализации ИОМа.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разъяснительных мероприятий по формированию у педагога понимания своих образовательно-профессиональных дефицитов и потребностей.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анализа результатов диагностик профессиональных дефицитов педагогических работников общеобразовательной организации (направления диагностики профессиональных дефицитов педагогических работников обусловлены нормативно закрепленным перечнем профессиональных компетенций: предметных, методических, психолого-педагогических, коммуникативных компетенций, которые связаны с трудовыми функциями профессионального стандарта "Педагог").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мероприятий по повышению внутренней мотивации педагога при разработке и реализации ИОМ.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мониторинга удовлетворенности педагогов профессиональной деятельностью и методичсеким сопровождением.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Рзработка ИОМ непрерывного развития  профессионального мастерства педагогических работников для повышения эффективности их  профессиональной деятельности.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Осуществление административного контроля за организацией деятельности по выявлению дефицитов, сопровождению, разработки и реализации ИОМ.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способов стимулирования и поощрения педагогических работников, направленных на повышение мотивации педагогических работников к прохождению диагностики профессиональных компетенций.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88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Доля педагогических работников, прошедших обучение по программам повышения квалификации, размещенным в Федеральном реестре дополнительных профессиональных программ педагогического образования (за три последних года)(критический показатель)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менее 80% педагогических работников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3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«Учитель. Школьная команда»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Развитие и повышение квалификации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89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Доля педагогических работников, прошедших обучение по программам повышения квалификации по инструментам ЦОС, размещеннымв Федеральном реестре дополнительных профессиональных программ педагогического образования (за три последних года)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менее 60% педагогических работников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2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«Учитель. Школьная команда»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Развитие и повышение квалификации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Низкая доля педагогических работников, прошедших обучение по программам повышения квалификации по инструментам ЦОС, размещенным в Федеральном реестре дополнительных профессиональных программ педагогического образования (за три последних года).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мониторинга обучения педагогических работников общеобразовательной организации по программам повышения квалификации по инструментам ЦОС, размещенным в Федеральном реестре дополнительных профессиональных программ педагогического образования за три последних года.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анализа имеющихся программ дополнительного профессионального образования по инструментам ЦОС региональных институтов развития образования/институтов повышения квалификации, программ, размещенных в Федеральном реестре дополнительных профессиональных программ педагогического образования.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адресного подхода со стороны администрации, проведение информационно-разъяснительной работы с педагогами о необходимости обучения по программам повышения квалификации по инструментам ЦОС.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информирования о новых тенденциях развития образования, задачах и требованиях к профессиональной компетентности педагогических работников по вопросам использования инструментов ЦОС в образовательной деятельности.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анализа / самоанализа профессиональной деятельности педагогических работников в части использования инструментов ЦОС в образовательной деятельности.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плана мероприятий по выявлению потребности и организации курсовой подготовки педагогов по инструментам ЦОС.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Формирование перспективного плана повышение квалификации педагогических работников по программам повышения квалификации по инструментам ЦОС, размещенным в Федеральном реестре дополнительных профессиональных программ педагогического образования.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обучения педагогических работников по программам повышения квалификациипо инструментам ЦОС, размещенным в Федеральном реестре дополнительных профессиональных программ педагогического образования.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административного контроля за организацией обучения педагогических работников по программам повышения квалификации по инструментам ЦОС, размещенным в Федеральном реестре дополнительных профессиональных программ педагогического образования.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Включение в индивидуальные образовательные маршруты  педагогов плана обучения по программам повышения квалификации по инструментам ЦОС, размещенным в Федеральном реестре.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Выравнивание педагогической нагрузки на педагогов, устранение перегрузки, повышение мотивации к изучению и использованию инструментов ЦОС.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90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Доля педагогических работников и управленческих кадров, прошедших обучение по программам повышения квалификации в сфере воспитания (за три последних года)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Не менее 80%  педагогических работников 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3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«Учитель. Школьная команда»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Развитие и повышение квалификации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91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Повышение квалификации штатных педагогов-психологов по программам, размещенным в Федеральном реестре дополнительных профессиональных программ педагогического образования (за три последних года)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100% штатных педагогов-психологов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«Учитель. Школьная команда»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Развитие и повышение квалификации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92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Повышение квалификации управленческой команды по программам из Федерального реестра образовательных программ дополнительного профессионального образования (за три последних года)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100% управленческой команды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3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«Учитель. Школьная команда»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Развитие и повышение квалификации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93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условий для обучения учителей по дополнительным профессиональным программам, направленных на формирование у обучающихся навыков, обеспечивающих технологический суверенитет страны (математика, физика, информатика, химия, биология) (за три последних года)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Нет  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0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«Учитель. Школьная команда»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Развитие и повышение квалификации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Отсутствие педагогов, способных осуществлять реализацию программ углубленного изучения предмета, профильного обучения.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Обепечение реализации ООП в сетевой форме.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положения о кадровом резерве.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созданы условия для обучения учителей по дополнительным профессиональным программам, направленным на формирование у обучающихся навыков, обеспечивающих технологический суверенитет страны (математика, физика, информатика, химия, биология) (за три последних года)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мониторинга обучения учителей по дополнительным профессиональным программам, направленным на формирование у обучающихся навыков, обеспечивающих технологический суверенитет страны (математика, физика, информатика, химия, биология) (за три последних года).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анализа имеющихся программ дополнительного профессионального образования региональных институтов развития образования/институтов повышения квалификации, программ, размещенных в Федеральном реестре.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адресного подхода со стороны администрации, проведение информационно-разъяснительной работы с учителями математики, физики, информатики, химии, биологии) 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информирования о новых тенденциях развития образования, задачах и требованиях к профессиональной компетентности учителей математики, физики, информатики, химии, биологии.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анализа / самоанализа профессиональной деятельности учителей математики, физики, информатики, химии, биологии, осуществляющих реализацию программ углубленного/профильного обучения.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плана мероприятий по выявлению потребности и организации курсовой подготовки учителей математики, физики, информатики, химии, биологии, осуществляющих реализацию программ углубленного/профильного обучения.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Формирование перспективного плана повышения квалификации учителей математики, физики, информатики, химии, биологии, осуществляющих реализацию углубленного/профильного обучения, по программам повышения квалификации, размещенным в Федеральном реестре.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обучения учителей математики, физики, информатики, химии, биологии по программам повышения квалификации, размещенным в Федеральном реестре.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административного контроля обучения учителей математики, физики, информатики, химии, биологии по программам повышения квалификации, размещенным в Федеральном реестре дополнительных профессиональных программ педагогического образования.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Включение в индивидуальные образовательные маршруты учителей  математики, физики, информатики, химии, биологии, осуществляющих реализацию  углубленного/профильного обучения, плана обучения по программам повышения квалификации, размещенным в Федеральном реестре.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Выравнивание педагогической нагрузки на учителей математики, физики, информатики, химии, биологии, устранение перегрузки, повышение мотивации и  внутренней активности педагога.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условий (финансовых, организационно-педагогических, информационных) для обучения учителей математики, физики, информатики, химии, биологии по дополнительным профессиональным программам, направленныхмна формирование у обучающихся навыков, обеспечивающих технологический суверенитет страны.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административного контроля за организацией обучения и созданием условий для обучения учителей математики, физики, информатики, химии, биологиипо дополнительным профессиональным программам, направленных на формирование у обучающихся навыков, обеспечивающих технологический суверенитет страны.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94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Участие педагогов в конкурсном движении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Участие на муниципальном уровне 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«Учитель. Школьная команда»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Развитие и повышение квалификации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Отсутствие педагогов, участвующих в профессиональных конкурсах на всероссийском уровне.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мониторинга участия педагогов в конкурсном движении (за три последних года).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системы мотивирования/стимулирования педагогических работников, занимающих активную позицию в конкурсном движении, принимающих участие в профессиональных конкурсах.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локального акта о системе материального и нематериального стимулирования участников профессиональных конкурсов, синхронизация его с положением об оплате труда и коллективным договором.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Повышение мотивации педагога в необходимости участия в конкурсном движении.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системы стимулирования инициативы и активизации творчества педагогических работников.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для педагогов календаря активностей (очные и дистанционные конкурсы профмастерства, олимпиады и диктанты, обучающие семинары и конференции и т.д.).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адресного методического сопровождения в профессиональном развитии педагогических работников и управленческих кадров до 35 лет в первые три года работы.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взаимообучения педагогических работников и управленческих кадров (в том числе – в формате внутрикорпоративного обучения, тренингов по командообразованию).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Включение в план методической работы актуальных направлений (госполитика, учет дефицитов и ресурсов ОО и т.д.).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плана мероприятий по выявлению и распространению передового педагогического опыта.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Формирование банка успешных «командных» педагогических и управленческих практик и их тиражирование.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адресного методического сопровождения, в т.ч. и для выявления потенциальных участников профессиональных конкурсов.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Осуществление методического сопровождения педагогов, участвующих в конкурсах профессионального мастерства.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Формирование модели методического взаимодействия с другими ОО.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педагогических работников к участию в мероприятиях в качестве эксперта, члена жюри, руководителя краткосрочного проекта.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системы наставничества, тьюторства, сопровождения педагога в подготовке к профессиональному конкурсу.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 участия педагогов в публичных мероприятиях разных уровней: конференциях, круглых столах, семинарах, мастер-классах и т.д.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Методическое сопровождение кандидата на победителя/призера конкурса по принципу "равный" учит "равного".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формирования необходимых компетенций у педагога для участия и победы в конкурсах.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системы наставничества, тьюторства, сопровождения педагога в подготовке к профессиональному конкурсу.</w:t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95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среди педагогов победителей и призеров конкурсов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среди педагогов победителей и призеров конкурсов на муниципальном уровне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«Учитель. Школьная команда»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Развитие и повышение квалификации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осуществляется методическое сопровождение педагогов, участвующих в конкурсах профессионального мастерства.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методического сопровождения и подготовки педагогов к участию в конкурсах профессионального мастерства.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Методическое сопровождение кандидата на победителя/призера конкурса по принципу "равный" учит "равного".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к подготовке педагогов, участвующих в конкурсах профессионального мастерства, победителей и призеров профессиональных конкурсов прошлых лет, педагогов-авторов уникальных образовательных методик.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системы наставничества, тьюторства, сопровождения педагога в подготовке к профессиональному конкурсу.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Применение различных видов наставничества: виртуальное (дистанционное), в группе, краткосрочное или целеполагающее, реверсивное, ситуационное, скоростное консультационное, традиционную форму («один на один»).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формируется и не ведется банк успешных «командных» педагогических и управленческих практик и не осуществляется их тиражирование.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плана мероприятий по выявлению, изучению, распространению эффективных педагогических практик.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Формирование банка авторов успешных «командных» педагогических и управленческих практик.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Отсутствие необходимых компетенций у педагога для участия и победы в конкурсах профессионального мастерства.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педагогических работников к участию в мероприятиях в качестве эксперта, члена жюри, руководителя проекта.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 для  педагогов, участвующих в конкурсах профессионального мастерства, календаря  активностей (очные и дистанционные конкурсы профмастерства, олимпиады и диктанты, обучающие семинары и конференции и т.д.).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участия педагогов, участвующих в конкурсах профессионального мастерства, в публичных мероприятиях разных уровней: конференциях, круглых столах, семинарах, мастер-классах и т.д.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Недостаточная работа по мотивации педагогов, участвующих в конкурсах профессионального мастерства, к достижению высокого результата.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системы мотивирования/стимулирования педагогических работников, занимающих активную позицию в конкурсном движении, принимающих участие в профессиональных конкурсах.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Осуществление профилактики профессионального выгорания педагогов, участвующих в конкурсах профессионального мастерства.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Информационная поддержка финалистов и победителей профконкурсов (билборды, видеоролики, интервью в СМИ и т.п.).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96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локальных актов (далее ‒ ЛА) образовательной организации, регламентирующих ограничения использования мобильных телефонов обучающимися(критический показатель)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Да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«Образовательная среда»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ЦОС (поддержка всех активностей)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97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Подключение образовательной организации к высокоскоростному интернету(критический показатель)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Да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«Образовательная среда»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ЦОС (поддержка всех активностей)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98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Предоставление безопасного доступа к информационно-коммуникационной сети Интернет (критический показатель)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Да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«Образовательная среда»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ЦОС (поддержка всех активностей)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99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Использование федеральной государственной информационной системы Моя школа, в том числе верифицированного цифрового образовательного контента, при реализации основных общеобразовательных программ в соответствии с Методическими рекомендациями Федерального института цифровой трансформации в сфере образования(критический показатель)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менее 30% педагогических работников используют сервисы и подсистему «Библиотека ЦОК» ФГИС «Моя школа»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2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«Образовательная среда»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ЦОС (поддержка всех активностей)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управленческих компетенций в реализации государственной политики по внедрению ФГИС «Моя школа» и ЦОС.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Изучение методических рекомендаций, нормативных документов по использование ФГИС «Моя школа», в том числе верифицированного цифрового образовательного контента, при реализации основных общеобразовательных программ.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Отсутствие/частичная разработка ЛА документов по использованию ФГИС «Моя школа».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ЛА: «Положение о применении электронного обучения, дистанционных образовательных технологий при реализации образовательных программ»; «дорожной карты» по реализации мероприятий по подключению и использованию ФГИС «Моя школа».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модели цифровой образовательной среды образовательной организации на основе целевой модели, утвержденной приказом Министерства просвещения Российской Федерации от 02.12.2019 № 649.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проекта по цифровой образовательной среде образовательной организации и включение всех педагогов и управленческого персонала школы к использованию единого доступа к образовательным сервисам цифровым учебным материалам.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Отсутствует необходимое количество оборудованных рабочих мест педагогов, оснащенных необходимым оборудованием.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Осуществление анализа ресурсов школы: инфраструктура, материально-техническая база, кадры, методик, как основных компонентов для реализации образовательных программ.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Недостаточный уровень технической подготовки ответственного за подключение к ИС.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Оказание методической помощи, изучение методических рекомендаций ФГАНУ ФИЦТО.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Педагогические работники не обладают необходимыми компетенциями.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Осуществление мониторинга цифровых компетенций педагогов и обучающихся, позволяющих использовать оборудование и программные средства, технологии дистанционного образовательного взаимодействия, пользоваться доступом к информационным каналам сети Интернет, ресурсам медиатек.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курсовой подготовки педагогов по совершенствованию и развитию  цифровых компетенций.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Педагогические работники не знакомы с функциональными возможностями ФГИС «Моя школа».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Оказание методической помощи педагогическим работникам, изучение педагогическими работниками  Методических рекомендаций для педагогических работников по вопросам работы на платформе ФГИС «Моя школа».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Неиспользование возможностей ФГИС «Моя школа» в организации оценочной деятельности.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оценки и учета результатов использования разнообразных методов и форм обучения, взаимно дополняющих друг друга, в том числе проектов, практических, командных, исследовательских, творческих работ, самоанализа и самооценки, взаимооценки, наблюдения, испытаний (тестов), динамических показателей освоения навыков и знаний, в том числе формируемых с использованием цифровых технологий.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Невключенность в рабочие программы учебных предметов видов учебной деятельности с использованием ресурсов ФГИС «Моя школа».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в рабочих программах учебных предметов, учебных курсов (в том числе внеурочной деятельности), учебных модулей  возможности использования  электронных (цифровых) образовательных ресурсов, являющихся учебно-методическими материалами (мультимедийные программы, электронные учебники и задачники, электронные библиотеки, виртуальные лаборатории, игровые программы, коллекции цифровых образовательных ресурсов), используемыми для обучения и воспитания различных групп пользователей, представленными в электронном (цифровом) виде и реализующими дидактические возможности ИКТ, содержание которых соответствует законодательству об образовании.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Неприятие родителями и некоторыми педагогами электронного обучения из-за влияния на здоровье школьника (педагога).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разъяснительной работы с педагогами, с родителями (законными представителями).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Выработка системы контроля за временными нормами электронного обучения.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100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Информационно-коммуникационная образовательная платформа Сферум(критический показатель)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100% педагогических работников включены в сетевые профессиональные сообщества по обмену педагогическим опытом и активно используют платформу «Сферум»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3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«Образовательная среда»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ЦОС (поддержка всех активностей)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101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Оснащение образовательной организации IT- оборудованием в соответствии с Методическими рекомендациями по вопросам размещения оборудования, поставляемого в целях обеспечения образовательных организаций материально-технической базой для внедрения ЦОС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Частично соответствует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«Образовательная среда»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ЦОС (поддержка всех активностей)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финансирования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Перераспределение бюджетных средств или привлечение дополнительных источников финансирование.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Оборудование образовательной организации не соответствует Методическим рекомендациям по вопросам размещения оборудования, поставляемого в целях обеспечения образовательных организаций материально-технической базой для внедрения ЦОС.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мероприятий по развитию материально-технической базы, информационно-телекоммуникационной инфраструктуры для внедрения ЦОС.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Приобретение современного IT- оборудования за счет средств образовательной организации на учебные расходы, участие в грантовых конкурсах, привлечение внебюджетных средств.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цифровой модели образовательной среды.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Реализация и внедрение целевой модели цифровой образовательной среды, (утвержденной приказом Минпросвещения России от 02.12.2019 г. № 649) средствами вычислительной техники, программным обеспечением и презентационным оборудованием.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обеспечено хранение оборудования ЦОС.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хранения компьютерной и мультимедийной техники в соответствии с ГОСТ 21552-84 «Средства вычислительной техники. Общие технические требования, приемка, методы испытаний, маркировка, упаковка, транспортирование и хранение».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соблюдаются условия и нормы хранения техники.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Изучение Методических рекомендаций по вопросам размещения оборудования, поставляемого в целях обеспечения образовательных организаций материально-технической базой для внедрения ЦОС и обеспечить соблюдение требований данного документа.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соблюдаются требования к безопасности.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Изучение Методических рекомендаций по вопросам размещения оборудования, поставляемого в целях обеспечения образовательных организаций материально-технической базой для внедрения ЦОС и обеспечить соблюдение требований данного документа.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соблюдаются рекомендации по хранению оборудования.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Изучение Методических рекомендаций по вопросам размещения оборудования, поставляемого в целях обеспечения образовательных организаций материально-технической базой для внедрения ЦОС и обеспечить соблюдение требований данного документа.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выполняются рекомендации по размещению оборудования.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Изучение Методических рекомендаций по вопросам размещения оборудования, поставляемого в целях обеспечения образовательных организаций материально-технической базой для внедрения ЦОС и обеспечить соблюдение требований данного документа.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осуществляется административный контроль эксплуатации оборудования.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Осуществление административного контроля эксплуатации оборудования. Коррекция плана административного контроля.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выполняются рекомендации по использованию оборудования на учебных предметах обязательных предметных областей, указанных во ФГОС НОО, ФГОС ООО, ФГОС СОО.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Изучение Методических рекомендаций по вопросам использования в образовательном процессе оборудования, поставляемого в целях обеспечения образовательных организаций материально-технической базой для внедрения ЦОС и обеспечить их выполенение.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выполняются рекомендации по использованию оборудования при организации разных видов учебной деятельности обучающихся в соответствии с ФГОС НОО, ФГОС ООО, ФГОС СОО.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Изучение Методических рекомендаций по вопросам использования в образовательном процессе оборудования, поставляемого в целях обеспечения образовательных организаций материально-технической базой для внедрения ЦОС и обеспечить их выполенение.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выполняются рекомендации по использованию оборудования при организации образовательной деятельности по дополнительным образовательным программам.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Изучение Методических рекомендаций по организации использования оборудования в рамках внедрения цифровой образовательной среды дополнительного образования и обеспечить выполнение данных рекомендаций.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административного контроля использования оборудования.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Осуществление административного контроля использования оборудования. Коррекция плана административного контроля.</w:t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102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Эксплуатация информационной системы управления образовательной организацией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Управление образовательной организацией осуществляется с использованием информационной системы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«Образовательная среда»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ЦОС (поддержка всех активностей)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Недостаток компетенций у управленческой команды в использовании информационной системы в управлении образовательной организацией организация обучения управленческой команды использованию информационной системы в управлении образовательной организацией.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обучения управленческой команды использованию информационной системы в управлении образовательной организацией.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финансирования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Осуществление поиска источников дополнительного финансирования.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103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в образовательной организации пространства для учебных и неучебных занятий, творческих дел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«Образовательная среда»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внутришкольного пространства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104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Функционирование школьного библиотечного информационного центра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0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«Образовательная среда»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внутришкольного пространства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Отсутствует помещение для организации школьного библиотечного информационного центра.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Выделение помещения для организации школьного библиотечного информационного центра (модернизация школьного пространства, использование возможностей трансформирования, зонирования школьного пространства).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разработан ЛА о школьном библиотечном информационном центре.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и утвердение в установленном порядке ЛА, регламентирующего функционирование школьного библиотечного информационного центра.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Устаревшие формы взаимодействия с посетителями - учащимися и учителями-предметниками.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Внесение в ЛА организации изменений, регламентирующих проведение персонифицированного и адаптивного обучения, смешанного обучения, работу со STEM, STEAM технологиями с использованием ИБЦ.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Непонимание отличия библиотеки от ИМЦ.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Изучение методических рекомендаций и опыта других ОО, разработка модель образовательного процесса с ведущей ролью ШИБЦ.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Отсутствует необходимое оборудование.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Осуществление поиска источников дополнительного финансирования.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Слабая материально-техническая база.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Осуществление поиска источников дополнительного финансирования.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Старение библиотечного фонда.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Осуществление поиска источников дополнительного финансирования.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Недостаточность информационно-ресурсного и программного обеспечения.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Осуществление поиска источников дополнительного финансирования.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Большое количество функций, возложенных на ИБЦ, не осуществляется одним библиотекарем.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Включение в обязанности системного администратора школы, руководителя видеостудии/ телецентра/кружка/студии юных журналистов, издающих школьную газету, координатора проектной деятельности и др. работы в ИБЦ в тесном коллективном взаимодействии.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Недостаток профессиональной компетенции работника библиотеки в организации школьного библиотечного информационного центра.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Внесение в график повышения квалификации систематического обучения библиотекарей школ сервисам и инструментам решения образовательных и творческих задач при работе в ИБЦ.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Проблемы кадрового обеспечения.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Решение кадрового вопроса путем привлечения внешнего совместителя.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Решение кадрового вопроса путем привлечения специалиста в рамках сетевого взаимодействия.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Решение кадрового вопроса путем принятие штатного специалиста.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программы развития школьного библиотечного информационного центра.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программы развития школьного библиотечного информационного центра.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105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Реализация модели Школа полного дня на основе интеграции урочной и внеурочной деятельности обучающихся, программ дополнительного образования детей, включая пребывание в группах продленного дня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3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«Образовательная среда»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Функционирование школы полного дня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106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Сформированы коллегиальные органы управления в соответствии с Федеральным законом Об образовании в Российской Федерации, предусмотренные уставом образовательной организации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Да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«Образовательная среда»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Реализация государственно-общественного управления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107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Функционирование управляющего совета образовательной организации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Да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«Образовательная среда»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Реализация государственно-общественного управления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108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в общеобразовательной организации педагога-психолога(критический показатель)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педагога-психолога в качестве:  - внешнего совместителя  и (или)  - привлеченного в рамках сетевого взаимодействия и (или) - штатного специалиста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«Школьный климат»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психолого-педагогического сопровождения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109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Доля обучающихся общеобразовательных организаций, принявших участие в социально-психологическом тестировании на выявление рисков употребления наркотических средств и психотропных веществ, в общей численности обучающихся общеобразовательных организаций, которые могли принять участие в данном тестировании(критический показатель)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90% обучающихся и более 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3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«Школьный климат»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психолого-педагогического сопровождения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110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локальных актов по организации психолого-педагогического сопровождения участников образовательных отношений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«Школьный климат»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психолого-педагогического сопровождения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111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в штате общеобразовательной организации социального педагога, обеспечивающего оказание помощи целевым группам обучающихся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Отсутствие    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0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«Школьный климат»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психолого-педагогического сопровождения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в образовательной организации системы социального сопровождения участников образовательных отношений квалифицированным специалистом (социальным педагогом).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в качестве совместителей специалистов из других общеобразовательных организаций к выполнению функций социального педагога, проведению обучающих семинаров по развитию системы работы по оказанию помощи целевым группам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Решение кадрового вопроса путем привлечения социального педагога в рамках сетевого взаимодействия.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Решение кадрового вопроса путем принятия штатного специалиста (социального педагога).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Взаимодействие (в том числе с использованием дистанционных образовательных технологий) с ресурсными центрами (центры социальной помощи семьям и детям, психолого-медико-социального сопровождения).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112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в штате общеобразовательной организации учителя-дефектолога, обеспечивающего оказание помощи целевым группам обучающихся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Отсутствие     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0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«Школьный климат»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психолого-педагогического сопровождения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в штате общеобразовательной организации учителя-дефектолога, обеспечивающего оказание помощи целевым группам обучающихся.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переподготовки педагогического работника на специальность «учитель-дефектолог».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в качестве совместителей специалистов из других общеобразовательных организаций  к выполнению функций учителя-дефектолога, проведению обучающих семинаров по развитию системы работы по оказанию помощи целевым группам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Решение кадрового вопроса путем привлечения учителя-дефектолога в рамках сетевого взаимодействия.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Решение кадрового вопроса путем принятия штатного специалиста (учителя-дефектолога).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Взаимодействие (в том числе с использованием дистанционных образовательных технологий) с ресурсными центрами, медицинскими учреждениями.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113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в штате общеобразовательной организации учителя-логопеда, обеспечивающего оказание помощи целевым группам обучающихся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«Школьный климат»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психолого-педагогического сопровождения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114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в организации отдельного кабинета педагога-психолога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Отсутствие    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0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«Школьный климат»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психолого-педагогического сопровождения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отдельного кабинета педагога-психолога (отсутствие возможности у педагога-психолога  для научной организации труда, эффективной работы по созданию обстановки доверительного общения и психологического комфорта необходимых для оказания своевременной квалифицированной консультативнометодической, психокоррекционной и других видов психологической помощи субъектам образовательного пространства: педагогам, детям, учащимся разного уровня развития и возраста, их родителям).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ЛА по созданию и функционированию кабинета педагога-психолога.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рабочей группы по разработке дизайн-проекта рабочего пространства педагога-психолога в ОО.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внебюджетных средств для реализации дизайн-проекта рабочего пространства педагога-психолога в ОО.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рабочего места педагога-психолога, используя методы оптимизации имеющихся в образовательной организации помещений, возможностей трансформирования, зонирования школьного пространства.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Кабинет педагога-психолога не оборудован автоматизированным рабочим местом.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внебюджетных средств с целью оборудования кабинета педагога-психолога автоматизированным рабочим местом.</w:t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115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Оказание психолого-педагогической помощи целевым группам обучающихся (испытывающим трудности в обучении; находящимся в трудной жизненной ситуации; детям-сиротам и детям, оставшимся без попечения родителей; обучающимся с ОВЗ и (или) инвалидностью; одаренным детям)(критический показатель)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Реализуется в виде отдельных мероприятий и (или) индивидуальных консультаций отдельных участников образовательных отношений (обучающихся, родителей, педагогов)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«Школьный климат»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Формирование психологически благоприятного школьного климата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Несвоевременное и бессистемное оказание адресной помощи субъектам образовательной деятельности.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и утверждение  ЛА "Положение о порядке организации предоставления психолого-педагогической, медицинской и социальной помощи обучающимся". Обеспечение реализации требований локального акта.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прохождения КПК с целью совершенствования профессиональных компетенций по данному направлению профдеятельности.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Психолого-педагогическая помощь целевым группам обучающихся (испытывающим трудности в обучении; находящимся в трудной жизненной ситуации; детям-сиротам и детям, оставшимся без попечения родителей; обучающимся с ОВЗ и (или) инвалидностью; одаренным детям) не оказывается.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административной деятельности по созданию условий для оказания психолого-педагогической помощи целевым группам обучающихся (испытывающим трудности в обучении; находящимся в трудной жизненной ситуации; детям-сиротам и детям, оставшимся без попечения родителей; обучающимся с ОВЗ и (или) инвалидностью; одаренным детям).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в общеобразовательной организации педагога-психолога.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переподготовки педагогических работников по специальности «педагог-психолог».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специалистов в качестве совместителей из других общеобразовательных организаций к выполнению функций педагога-психолога, проведению обучающих семинаров по развитию системы школьной медиации, профилактике и управлению конфликтами в образовательной среде, созданию (развитию) системы профилактической работы с учащимися, находящимися в социально-опасном положении;  поддержка обучающихся, состоящих на внутришкольном учете, на учете в КДН, ПДН, «группах риска» и др.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Решение кадрового вопроса путем привлечения педагога-психолога в рамках сетевого взаимодействия.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Решение кадрового вопроса путем принятия штатного педагога-психолога.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Взаимодействие (в том числе с использованием дистанционных образовательных технологий) с ресурсными центрами (психологические центры, центры социальной помощи семьям и детям, психолого-медико-социального сопровождения, образовательные учреждения, реализующие АООП).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в штате общеобразовательной организации учителя-логопеда.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переподготовки педагогического работника на специальность «учитель-логопед».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в качестве совместителей специалистов из других общеобразовательных организаций  к выполнению функций учителя-логопеда, проведению обучающих семинаров по развитию системы работы по оказанию помощи целевым группам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Решение кадрового вопроса путем привлечения учителя-логопеда в рамках сетевого взаимодействия.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Решение кадрового вопроса путем принятия штатного специалиста (учителя-логопеда).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Взаимодействие (в том числе с использованием дистанционных образовательных технологий) с ресурсными центрами, медицинскими учреждениями.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в штате общеобразовательной организации учителя-дефектолога.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переподготовки педагогического работника на специальность «учитель-дефектолог».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в качестве совместителей специалистов из других общеобразовательных организаций  к выполнению функций учителя-дефектолога, проведению обучающих семинаров по развитию системы работы по оказанию помощи целевым группам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Решение кадрового вопроса путем привлечения учителя-дефектолога в рамках сетевого взаимодействия.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Решение кадрового вопроса путем принятия штатного специалиста (учителя-дефектолога).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Взаимодействие (в том числе с использованием дистанционных образовательных технологий) с ресурсными центрами, медицинскими учреждениями.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в штате общеобразовательной организации социального педагога.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в качестве совместителей специалистов из других общеобразовательных организаций к выполнению функций социального педагога, проведению обучающих семинаров по развитию системы работы по оказанию помощи целевым группам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Решение кадрового вопроса путем привлечения социального педагога в рамках сетевого взаимодействия.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Решение кадрового вопроса путем принятия штатного специалиста (социального педагога).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Взаимодействие (в том числе с использованием дистанционных образовательных технологий) с ресурсными центрами (центры социальной помощи семьям и детям, психолого-медико-социального сопровождения).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разработана психолого-педагогическая программа.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психолого-педагогической программы.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разработана программа адресной психологической помощи (поддержки).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программы адресной психологической помощи (поддержки).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обеспечена вариативность направлений психолого-педагогического сопровождения участников образовательных отношений.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психолого-педагогического сопровождения участников образовательного процесса, направленного на сохранение и укрепление психологического здоровья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психолого-педагогического сопровождения участников образовательного процесса, направленного на формирование ценности здоровья и безопасного образа жизни.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психолого-педагогического сопровождения участников образовательного процесса, направленного на развитие своей экологической культуры дифференциации и индивидуализации обучения.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Осуществление мониторинга возможностей и способностей обучающихся, выявление и поддержка одаренных детей, детей с ограниченными возможностями здоровья.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психолого-педагогической поддержки участников олимпиадного движения.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психолого-педагогического сопровождения участников образовательного процесса, направленного на обеспечение осознанного и ответственного выбора дальнейшей профессиональной сферы деятельности.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психолого-педагогического сопровождения участников образовательного процесса, направленного на формирование коммуникативных навыков в разновозрастной среде и среде сверстников.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психолого-педагогического сопровождения участников образовательного процесса, направленного на поддержку детских объединений, ученического самоуправления.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обеспечена вариативность форм психолого-педагогического сопровождения участников образовательного процесса.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осуществления психолого-педагогического консультирования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осуществления психолого-педагогического консультирования родителей (законных представителей)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осуществления психолого-педагогического консультирования педагогических работников.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осуществления коррекционной и развивающий работы с обучающимися в рамках психолого-педагогического сопровождения участников образовательного процесса.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осуществления диагностической работы в рамках психолого-педагогического сопровождения участников образовательного процесса.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обеспечена диверсификация уровней психолого-педагогического сопровождения (индивидуальный, групповой, уровень класса, уровень организации).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диверсификации уровней психолого-педагогического сопровождения (индивидуальный, групповой, уровень класса, уровень организации).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Не обеспечено оказание психолого-педагогической помощи каждой из целевых группам обучающихся.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осуществления психолого-педагогического сопровождения обучающихся, испытывающих трудности в освоении программы, развитии и социальной адаптации.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осуществления психолого-педагогического сопровождения обучающихся, проявляющих индивидуальные способности, и одаренных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осуществления индивидуального психолого-педагогического сопровождения обучающихся с ОВЗ.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Не осуществляется психолого-педагогическое сопровождение участников образовательных отношений.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психолого-педагогического сопровождения родителей (законных представителей) несовершеннолетних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психолого-педагогического сопровождения педагогических, учебно-вспомогательных и иных работников организации, обеспечивающих реализацию программ общего образования.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работы по определению потребности в профессиональном или дополнительном профессиональном образовании педагогических работников, осуществляющих психолого-педагогическое сопровождение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формирования и развития психолого-педагогической компетентности  педагогических и административных работников.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формирования и развития психолого-педагогической компетентности  родительской общественности.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116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Формирование психологически благоприятного школьного пространства для обучающихся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Выделение и оснащение тематических пространств для обучающихся (зона общения, игровая зона, зона релаксации и иное)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«Школьный климат»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Формирование психологически благоприятного школьного климата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117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Наличие в кабинете педагога-психолога оборудованных зон (помещений) для проведения индивидуальных и групповых консультаций, психологической разгрузки, коррекционно-развивающей работы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Отсутствие специальных тематических зон     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0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«Школьный климат»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Формирование психологически благоприятного школьного климата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возможности оказания психологических услуг высокого уровня некоторым категориям детей, нуждающихся в особом внимании в связи с высоким риском уязвимости.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внебюджетных средств для закупки оборудования  для кабинета педагога-психолога.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прохождения КПК с целью освоения методик оказания психологических услуг высокого уровня некоторым категориям детей, нуждающихся в особом внимании в связи с высоким риском уязвимости.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специальных тематических зон по причине размеров кабинета педагога-психолога, не соответствующих требованиям к школьным помещениям.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Выделение кабинета/оборудованных зон в кабинете педагога-психолога для проведения индивидуальных и групповых консультаций, психологической разгрузки, коррекционно-развивающей работы.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Трансформирование, зонирование школьного пространства для возможностей проведения индивидуальных и групповых консультаций, психологической разгрузки, коррекционно-развивающей работы.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в организации отдельного кабинета педагога-психолога.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рабочего места педагога-психолога, используя методы оптимизации имеющихся в образовательной организации помещений, возможностей трансформирования, зонирования школьного пространства.</w:t>
            </w:r>
          </w:p>
        </w:tc>
      </w:tr>
      <w:tr>
        <w:trPr/>
        <w:tc>
          <w:tcPr>
            <w:tcW w:w="4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118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Формирование психологически благоприятного школьного пространства для педагогов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Выделение и оснащение тематического пространства (помещения) для отдыха и эмоционального восстановления педагогов</w:t>
            </w:r>
          </w:p>
        </w:tc>
        <w:tc>
          <w:tcPr>
            <w:tcW w:w="10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«Школьный климат»</w:t>
            </w:r>
          </w:p>
        </w:tc>
        <w:tc>
          <w:tcPr>
            <w:tcW w:w="188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Формирование психологически благоприятного школьного климата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119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Профилактика травли в образовательной среде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Реализуется в виде отдельных мероприятий и (или) индивидуальных консультаций отдельных участников образовательных отношений (обучающихся, родителей, педагогов)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«Школьный климат»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Формирование психологически благоприятного школьного климата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Рост явлений насилия, агрессии, игровой и интернет-зависимостей; десоциализации, виктимности в школе.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ЛА по профилактике буллинга в детской среде.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Отсутствие/недостаточность мероприятий, направленных на профилактику травли в образовательной среде.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работы по формированию благоприятного социального климата школы.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мониторинга и оценки распространенности травли.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формирования группы активистов по координации мероприятий по противодействию травле.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Формирование системы отслеживания инцидентов травли в школе.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работы по выработке и соблюдению  школьных правил, направленных на профилактику травли.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 мониторинга ситуации общения между школьниками.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диагностики вовлеченности в травлю конкретного ученика, а также распространенности буллинга в школе.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мониторинга результатов деятельности по профилактики травли в образовательной среде.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информационно-методического обеспечения системы профилактики травли в образовательной среде.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Выстривание системы взаимодействия с родителями по вопросам профилактики травли в образовательной среде.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контроля за осуществлением профилактики травли в образовательной организации.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Отсутствие/недостаточность профилактических мероприятий в образовательной среде.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Повышение психолого-педагогической компетентности педагогических работников, обучающихся, их родителей (законных представителей).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Развитие системы школьной медиации: профилактика и управление конфликтами в образовательной среде.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(развитие) системы профилактической работы с обучающимися, находящимися в социально-опасном положении.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Поддержка обучающихся, состоящих на внутришкольном учете, на учете в КДН, ПДН, «группах риска».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регулярного мониторинга занятости подростков «группы риска».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диагностической работы по раннему выявлению подростков «группы риска», склонных к противоправным действиям.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Профилактика суицидального поведения в детской и подростковой среде.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системы комплексного сопровождения детей-инвалидов, детей с ОВЗ и семей, воспитывающих таких детей.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и реализация комплекса обучающих модулей для родителей детей-инвалидов по вопросам здоровья, развития, коррекции, обучения и воспитания.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консультативных центров (обеспечение взаимодействия) для методической, психолого-педагогической, медико-социальной, диагностической и консультативной помощи (включая службу ранней коррекционной помощи) образовательной организации и родителям (законным представителям).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Взаимодействие (в том числе с использованием дистанционных образовательных технологий) с ресурсными центрами (психологические центры, центры социальной помощи семьям и детям, психолого-медико-социального сопровождения, образовательные учреждения, реализующие АООП, правоохранительные органы (КДН, ПДН), органы здравоохранения, социальной защиты, опеки и попечительства и др.).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Кадровый дефицит (отсутствие в организации психолога и/или социального педагога).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переподготовки педагогических работников по требующимся специальностям.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в качестве совместителей специалистов из других общеобразовательных организаций.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Решение кадрового вопроса путем привлечения необходимых специалистов в рамках сетевого взаимодействия.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Решение кадрового вопроса путем принятия штатных специалистов.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Взаимодействие (в том числе с использованием дистанционных образовательных технологий) с ресурсными центрами и др.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выстроена системная работа по преодолению дефицита компетенций у педагогических и иных работников образовательной организации.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системной работы по выявлению и преодолению дефицита компетенций у педагогов-психологов в решении профессиональных задач.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системной работы повыявлению и преодолению дефицита компетенций у социального пелагога в решении профессиональных задач.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обучения педагогических и иных работников  школы поведению по предотвращению и вмешательству в ситуации травли.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развития кадрового потенциала в вопросах профилактики травли в образовательной среде.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формирования и развития психолого-педагогической компетентности работников организации.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Формирование у специалистов компетенций, обеспечивающих возможность профессионально работать в межведомственной и междисциплинарной команде.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Отсутствует административный контроль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Выстраивание системы контроля осуществления профилактики  травли в образовательной среде.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 мониторинга результатов деятельности по профилактике  травли в образовательной среде.</w:t>
            </w:r>
          </w:p>
        </w:tc>
      </w:tr>
      <w:tr>
        <w:trPr/>
        <w:tc>
          <w:tcPr>
            <w:tcW w:w="4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120</w:t>
            </w:r>
          </w:p>
        </w:tc>
        <w:tc>
          <w:tcPr>
            <w:tcW w:w="260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Профилактика девиантного поведения обучающихся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Реализуется в виде отдельных мероприятий и (или) индивидуальных консультаций отдельных участников образовательных отношений (обучающихся, родителей, педагогов)</w:t>
            </w:r>
          </w:p>
        </w:tc>
        <w:tc>
          <w:tcPr>
            <w:tcW w:w="1066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1</w:t>
            </w:r>
          </w:p>
        </w:tc>
        <w:tc>
          <w:tcPr>
            <w:tcW w:w="1848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Ключевое условие «Школьный климат»</w:t>
            </w:r>
          </w:p>
        </w:tc>
        <w:tc>
          <w:tcPr>
            <w:tcW w:w="188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Формирование психологически благоприятного школьного климата</w:t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Риск увеличения в ОО обучающихся с антисоциальным, антидисциплинарным, делинквентным противоправным, а также аутоагрессивным (самоповреждающие и суицидальные) поступкам.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и реализация ЛА по профилактике различных видов девиации.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Отсутствует служба медиации в образовательной организации.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создания и функционирования службы медиации в образовательной организации.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Отсутствует эффективное распределение сфер ответственности в вопросах профилактики девиантного поведения обучающихся.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распределения сфер ответственности в вопросах профилактики девиантного поведения обучающихся.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 xml:space="preserve">Не выстроено межведомственное взаимодействие с различными субъектами профилактики деструктивного поведения детей и молодежи 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межведомственного взаимодействия с различными субъектами профилактики деструктивного поведения детей и молодежи (из сферы дополнительного образования, культуры и искусства, физической культуры и спорта, социальной защиты и защиты детства, СМИ и т. д.).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межведомственного взаимодействия с органами и учреждениями системы профилактики безнадзорности и правонарушений несовершеннолетних, правоохранительными органами (КДН, ПДН).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Взаимодействие (в том числе с использованием дистанционных образовательных технологий) с ресурсными центрами (психологические центры, центры социальной помощи семьям и детям, психолого-медико-социального сопровождения, образовательные учреждения, реализующие АООП, органы здравоохранения, социальной защиты, опеки и попечительства и др.).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осуществляется социально-педагогическая и психолого-педагогическая деятельность, направленная на выявление групп риска, в том числе семейного неблагополучия.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плана мероприятий по выявлению обучающихся, находящихся в социально-опасном положении, а также не посещающих или систематически пропускающих по неуважительным причинам занятия в образовательных учреждениях.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плана мероприятий по выявлению обучающихся, склонных к девиантному поведению.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плана мероприятий по выявлению обучающихся, находящихся в трудных жизненных ситуациях.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плана мероприятий по выявление семей, находящихся в социально опасном положении.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выстроена работа по оказанию помощи и поддержки обучающимся группы риска и их семьям.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плана мероприятий по оказанию поддержки обучающимся, находящихся в трудных жизненных ситуациях.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плана мероприятий по оказанию семьям, находящимся в социально опасном положении, помощи в обучении и воспитании детей.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Поддержка обучающихся, состоящих на внутришкольном учете, на учете в КДН, ПДН, «группах риска».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системы комплексного сопровождения детей-инвалидов, детей с ОВЗ и семей, воспитывающих таких детей.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консультативных центров (обеспечение взаимодействия) для методической, психолого-педагогической, медико-социальной, диагностической и консультативной помощи (включая службу ранней коррекционной помощи) образовательной организации и родителям (законным представителям).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Отсутствие профилактической и информационно-просветительской работы с обучающимися группы риска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Повышение психолого-педагогической компетентности педагогических работников, обучающихся, их родителей (законных представителей).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Внедрение и развитие системы школьной медиации и восстановительных технологий по урегулированию межличностных конфликтов и профилактики правонарушений.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(развитие) системы профилактической работы с обучающимися девиантного поведения.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регулярного мониторинга занятости подростков «группы риска».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диагностической работы по раннему выявлению подростков «группы риска», склонных к противоправным действиям.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Профилактика суицидального поведения в детской и подростковой среде.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и реализация комплекса обучающих модулей для родителей детей-инвалидов по вопросам здоровья, развития, коррекции, обучения и воспитания.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плана включения обучающихся с девиантным поведением находящихся на профилактическом учете, в социально-значимую деятельность с использованием ресурса организаций дополнительного образования, детских и молодежных социально-ориентированных объединений.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мер по реализации программ и методик, направленных на формирование законопослушного поведения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информационно-методического обеспечения системы профилактики девиантного поведения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Создание системы информационно-аналитического обеспечения профилактики девиантного поведения (система сбора, получения и использования информации; информационные материалы по профилактике девиантного поведения; статистические сведения о выявлении обучающихся, не посещающих образовательную организацию, систематически пропускающих учебные занятия без уважительных причин, безнадзорных и совершивших преступления и правонарушения, а также обучающихся, склонных к иным видам отклоняющегося поведения).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Разработка системы иформационно-просветительской работа с обучающимися по вопросам девиантного поведения.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разработки и реализации системы индивидуальной профилактической работы с обучающимися.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социально-педагогической диагностики (осуществляется специалистами образовательного учреждения, в котором происходит сбор информации о влиянии на личность и социум социально-психологических, педагогических, экологических и социологических факторов в целях повышения эффективности педагогических факторов).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Планирование работы, направленная на профилактику формирования у обучающихся девиантных форм поведения, агрессии и повышенной тревожности.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Планирование мероприятий по проведению социально-профилактической работы.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создания в образовательной организации поддерживающе-компенсаторной среды.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Кадровый дефицит (отсутствие в организации психолога и/или социального педагога).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переподготовки педагогических работников по требующимся специальностям.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Привлечение в качестве совместителей специалистов из других общеобразовательных организаций.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Решение кадрового вопроса путем привлечения необходимых специалистов в рамках сетевого взаимодействия.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Решение кадрового вопроса путем принятия штатных специалистов.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Взаимодействие (в том числе с использованием дистанционных образовательных технологий) с ресурсными центрами и др.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выстроена системная работа по преодолению дефицита компетенций у педагогических и иных работников образовательной организации по вопросам профилактики девиантного поведения.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формирования и развития психолого-педагогической компетентности работников организации.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системной работы по выявлению и преодолению дефицита компетенций у педагогов-психологов в решении профессиональных задач.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системной работы по выявлению и преодолению дефицита компетенций у  социального педагога в решении профессиональных задач.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Повышение уровня профессиональной компетентности  педагогических и иных работников в области профилактики девиантного поведения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 мероприятий по развитию кадрового потенциала в вопросах профилактики девиантного поведения.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Организация обучения педагогических работников по вопросам профилактики девиантного поведения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формирования у педагогических и иных работников организации необходимых компетенций в области разпознавания различных видов девиантного поведения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Ознакомление педагогических и иных работников организации   с алгоритмом/порядком действий для различных видов отклоняющегося поведения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формрования у специалистов компетенций, обеспечивающих возможность профессионально работать в межведомственной и междисциплинарной команде.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обеспечивается взаимодействие с родителями по вопросам профилактики девиантного поведения обучающихся.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формирования и развития психолого-педагогической компетентности родителей (законных представителей) несовершеннолетних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Выстривание системы взаимодействия с родителями по вопросам профилактики асоциального поведения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Проведение консультирования родителей в случае затрудненных воспитательных усилий или конфликтных родительско-детских взаимоотношений.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Не осуществляется психолого-педагогическое сопровождение внутрисемейной профилактики деструктивного поведения детей и молодежи.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Выстривание системы информационно-просветительской работы с родителями.</w:t>
            </w:r>
          </w:p>
        </w:tc>
      </w:tr>
      <w:tr>
        <w:trPr/>
        <w:tc>
          <w:tcPr>
            <w:tcW w:w="491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066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48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188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/>
                <w:kern w:val="2"/>
                <w:sz w:val="22"/>
                <w:szCs w:val="22"/>
                <w:lang w:val="ru-RU" w:eastAsia="zh-CN" w:bidi="ar-SA"/>
              </w:rPr>
            </w:r>
          </w:p>
        </w:tc>
        <w:tc>
          <w:tcPr>
            <w:tcW w:w="26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Отсутствует административный контроль.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Выстраивание системы контроля осуществления профилактики девиантного поведения обучающихся.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0"/>
              <w:jc w:val="left"/>
              <w:rPr>
                <w:rFonts w:ascii="Calibri" w:hAnsi="Calibri" w:eastAsia="DengXian" w:cs="Arial"/>
                <w:kern w:val="2"/>
                <w:sz w:val="22"/>
                <w:szCs w:val="22"/>
                <w:lang w:val="ru-RU" w:eastAsia="zh-CN" w:bidi="ar-SA"/>
              </w:rPr>
            </w:pPr>
            <w:r>
              <w:rPr>
                <w:rFonts w:eastAsia="DengXian" w:cs="Arial" w:ascii="Times New Roman" w:hAnsi="Times New Roman"/>
                <w:kern w:val="2"/>
                <w:sz w:val="22"/>
                <w:szCs w:val="22"/>
                <w:lang w:val="ru-RU" w:eastAsia="zh-CN" w:bidi="ar-SA"/>
              </w:rPr>
              <w:t>Обеспечение  мониторинга результатов деятельности по профилактике девиантного поведения обучающихся.</w:t>
            </w:r>
          </w:p>
        </w:tc>
      </w:tr>
    </w:tbl>
    <w:p>
      <w:pPr>
        <w:pStyle w:val="Normal"/>
        <w:snapToGrid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/>
      <w:r>
        <w:rPr>
          <w:rFonts w:cs="Times New Roman" w:ascii="Times New Roman" w:hAnsi="Times New Roman"/>
          <w:sz w:val="28"/>
          <w:szCs w:val="28"/>
        </w:rPr>
        <w:t>3.2. Описание дефицитов по каждому магистральному направлению и ключевому условию.</w:t>
      </w:r>
    </w:p>
    <w:p>
      <w:pPr>
        <w:pStyle w:val="Normal"/>
        <w:snapToGrid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napToGrid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3.2.1. Описание возможных причин возникновения дефицитов, внутренних и внешних факторов влияния на развитие школы.</w:t>
      </w:r>
    </w:p>
    <w:p>
      <w:pPr>
        <w:pStyle w:val="Normal"/>
        <w:snapToGrid w:val="false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3.2.2. Анализ текущего состояния и перспектив развития школы.</w:t>
      </w:r>
    </w:p>
    <w:p>
      <w:pPr>
        <w:pStyle w:val="ListParagraph"/>
        <w:widowControl w:val="false"/>
        <w:pBdr/>
        <w:snapToGrid w:val="false"/>
        <w:spacing w:lineRule="auto" w:line="240" w:before="0" w:after="0"/>
        <w:ind w:left="709"/>
        <w:contextualSpacing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Интерпретация результатов самодиагностики: </w:t>
      </w:r>
    </w:p>
    <w:tbl>
      <w:tblPr>
        <w:tblStyle w:val="af0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18"/>
        <w:gridCol w:w="5529"/>
        <w:gridCol w:w="4505"/>
        <w:gridCol w:w="4083"/>
      </w:tblGrid>
      <w:tr>
        <w:trPr/>
        <w:tc>
          <w:tcPr>
            <w:tcW w:w="1018" w:type="dxa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>№</w:t>
            </w:r>
          </w:p>
        </w:tc>
        <w:tc>
          <w:tcPr>
            <w:tcW w:w="5529" w:type="dxa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Магистральное направление, </w:t>
              <w:br/>
              <w:t>ключевое условие</w:t>
            </w:r>
          </w:p>
        </w:tc>
        <w:tc>
          <w:tcPr>
            <w:tcW w:w="4505" w:type="dxa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>Полученный результат</w:t>
            </w:r>
          </w:p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>(описание и количество баллов)</w:t>
            </w:r>
          </w:p>
        </w:tc>
        <w:tc>
          <w:tcPr>
            <w:tcW w:w="4083" w:type="dxa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>Планируемый результат, описание</w:t>
            </w:r>
          </w:p>
        </w:tc>
      </w:tr>
      <w:tr>
        <w:trPr/>
        <w:tc>
          <w:tcPr>
            <w:tcW w:w="1018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Знание</w:t>
            </w:r>
          </w:p>
        </w:tc>
        <w:tc>
          <w:tcPr>
            <w:tcW w:w="4505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83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1018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Воспитание</w:t>
            </w:r>
          </w:p>
        </w:tc>
        <w:tc>
          <w:tcPr>
            <w:tcW w:w="4505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83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1018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Здоровье</w:t>
            </w:r>
          </w:p>
        </w:tc>
        <w:tc>
          <w:tcPr>
            <w:tcW w:w="4505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83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1018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Творчество</w:t>
            </w:r>
          </w:p>
        </w:tc>
        <w:tc>
          <w:tcPr>
            <w:tcW w:w="4505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83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1018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Профориентация</w:t>
            </w:r>
          </w:p>
        </w:tc>
        <w:tc>
          <w:tcPr>
            <w:tcW w:w="4505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83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1018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Учитель. Школьная команда</w:t>
            </w:r>
          </w:p>
        </w:tc>
        <w:tc>
          <w:tcPr>
            <w:tcW w:w="4505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83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1018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7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Школьный климат</w:t>
            </w:r>
          </w:p>
        </w:tc>
        <w:tc>
          <w:tcPr>
            <w:tcW w:w="4505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83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1018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8</w:t>
            </w:r>
          </w:p>
        </w:tc>
        <w:tc>
          <w:tcPr>
            <w:tcW w:w="5529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Образовательная среда</w:t>
            </w:r>
          </w:p>
        </w:tc>
        <w:tc>
          <w:tcPr>
            <w:tcW w:w="4505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083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pStyle w:val="Normal"/>
        <w:widowControl w:val="false"/>
        <w:snapToGrid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bCs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</w:rPr>
      </w:r>
    </w:p>
    <w:p>
      <w:pPr>
        <w:pStyle w:val="Normal"/>
        <w:widowControl w:val="false"/>
        <w:snapToGrid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Результаты </w:t>
      </w: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</w:rPr>
        <w:t>проблемно ориентированного анализа:</w:t>
      </w: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 xml:space="preserve"> </w:t>
      </w:r>
    </w:p>
    <w:tbl>
      <w:tblPr>
        <w:tblStyle w:val="af0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915"/>
        <w:gridCol w:w="2462"/>
        <w:gridCol w:w="2346"/>
        <w:gridCol w:w="2764"/>
        <w:gridCol w:w="2649"/>
      </w:tblGrid>
      <w:tr>
        <w:trPr/>
        <w:tc>
          <w:tcPr>
            <w:tcW w:w="491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>Магистральные направления и ключевые условия</w:t>
            </w:r>
          </w:p>
        </w:tc>
        <w:tc>
          <w:tcPr>
            <w:tcW w:w="480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>Оценка актуального состояния внутреннего потенциала</w:t>
            </w:r>
          </w:p>
        </w:tc>
        <w:tc>
          <w:tcPr>
            <w:tcW w:w="541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Оценка перспектив развития </w:t>
              <w:br/>
              <w:t>с учетом изменения внешних факторов</w:t>
            </w:r>
          </w:p>
        </w:tc>
      </w:tr>
      <w:tr>
        <w:trPr/>
        <w:tc>
          <w:tcPr>
            <w:tcW w:w="491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462" w:type="dxa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>сильные стороны</w:t>
            </w:r>
          </w:p>
        </w:tc>
        <w:tc>
          <w:tcPr>
            <w:tcW w:w="2346" w:type="dxa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>слабые стороны</w:t>
            </w:r>
          </w:p>
        </w:tc>
        <w:tc>
          <w:tcPr>
            <w:tcW w:w="27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>благоприятные возможности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>риски</w:t>
            </w:r>
          </w:p>
        </w:tc>
      </w:tr>
      <w:tr>
        <w:trPr/>
        <w:tc>
          <w:tcPr>
            <w:tcW w:w="4915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Знание</w:t>
            </w:r>
          </w:p>
        </w:tc>
        <w:tc>
          <w:tcPr>
            <w:tcW w:w="246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764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649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4915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Воспитание</w:t>
            </w:r>
          </w:p>
        </w:tc>
        <w:tc>
          <w:tcPr>
            <w:tcW w:w="246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764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649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4915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Здоровье</w:t>
            </w:r>
          </w:p>
        </w:tc>
        <w:tc>
          <w:tcPr>
            <w:tcW w:w="246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764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649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4915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Творчество</w:t>
            </w:r>
          </w:p>
        </w:tc>
        <w:tc>
          <w:tcPr>
            <w:tcW w:w="246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764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649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4915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Профориентация</w:t>
            </w:r>
          </w:p>
        </w:tc>
        <w:tc>
          <w:tcPr>
            <w:tcW w:w="246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764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649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4915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Учитель. Школьная команда</w:t>
            </w:r>
          </w:p>
        </w:tc>
        <w:tc>
          <w:tcPr>
            <w:tcW w:w="246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764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649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4915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Школьный климат</w:t>
            </w:r>
          </w:p>
        </w:tc>
        <w:tc>
          <w:tcPr>
            <w:tcW w:w="246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764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649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4915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Образовательная среда</w:t>
            </w:r>
          </w:p>
        </w:tc>
        <w:tc>
          <w:tcPr>
            <w:tcW w:w="2462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764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649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</w:tr>
    </w:tbl>
    <w:p>
      <w:pPr>
        <w:sectPr>
          <w:footerReference w:type="default" r:id="rId10"/>
          <w:footerReference w:type="first" r:id="rId11"/>
          <w:type w:val="nextPage"/>
          <w:pgSz w:orient="landscape" w:w="16838" w:h="11906"/>
          <w:pgMar w:left="851" w:right="851" w:gutter="0" w:header="0" w:top="1134" w:footer="708" w:bottom="765"/>
          <w:pgNumType w:fmt="decimal"/>
          <w:formProt w:val="false"/>
          <w:textDirection w:val="lrTb"/>
          <w:docGrid w:type="default" w:linePitch="299" w:charSpace="0"/>
        </w:sectPr>
        <w:pStyle w:val="Normal"/>
        <w:widowControl w:val="false"/>
        <w:spacing w:lineRule="auto" w:line="276" w:before="0" w:after="0"/>
        <w:ind w:firstLine="567"/>
        <w:rPr>
          <w:rFonts w:ascii="Times New Roman" w:hAnsi="Times New Roman" w:eastAsia="Times New Roman" w:cs="Times New Roman"/>
          <w:i/>
          <w:i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i/>
          <w:color w:val="000000"/>
          <w:sz w:val="28"/>
          <w:szCs w:val="28"/>
        </w:rPr>
      </w:r>
    </w:p>
    <w:p>
      <w:pPr>
        <w:pStyle w:val="Normal"/>
        <w:widowControl w:val="false"/>
        <w:spacing w:lineRule="auto" w:line="276" w:before="0"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4. Основные направления развития организации.</w:t>
      </w:r>
    </w:p>
    <w:p>
      <w:pPr>
        <w:pStyle w:val="Normal"/>
        <w:widowControl w:val="false"/>
        <w:spacing w:lineRule="auto" w:line="276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4.1. Возможные действия, направленные на совершенствование деятельности по каждому магистральному направлению и ключевому условию.</w:t>
      </w:r>
    </w:p>
    <w:p>
      <w:pPr>
        <w:pStyle w:val="Normal"/>
        <w:widowControl w:val="false"/>
        <w:spacing w:lineRule="auto" w:line="276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4.2. Управленческие решения, направленные на устранение причин возникновения дефицитов.</w:t>
      </w:r>
    </w:p>
    <w:p>
      <w:pPr>
        <w:pStyle w:val="Normal"/>
        <w:widowControl w:val="false"/>
        <w:spacing w:lineRule="auto" w:line="276" w:before="0"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tbl>
      <w:tblPr>
        <w:tblStyle w:val="af0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21"/>
        <w:gridCol w:w="2849"/>
        <w:gridCol w:w="1255"/>
        <w:gridCol w:w="1253"/>
        <w:gridCol w:w="1253"/>
        <w:gridCol w:w="1253"/>
        <w:gridCol w:w="1254"/>
        <w:gridCol w:w="1253"/>
        <w:gridCol w:w="1253"/>
        <w:gridCol w:w="1253"/>
        <w:gridCol w:w="1237"/>
      </w:tblGrid>
      <w:tr>
        <w:trPr>
          <w:trHeight w:val="2684" w:hRule="atLeast"/>
        </w:trPr>
        <w:tc>
          <w:tcPr>
            <w:tcW w:w="1021" w:type="dxa"/>
            <w:tcBorders/>
            <w:textDirection w:val="btLr"/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849" w:type="dxa"/>
            <w:tcBorders/>
            <w:textDirection w:val="btLr"/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Магистральное направление, ключевое условие</w:t>
            </w:r>
          </w:p>
        </w:tc>
        <w:tc>
          <w:tcPr>
            <w:tcW w:w="1255" w:type="dxa"/>
            <w:tcBorders/>
            <w:textDirection w:val="btLr"/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en-US" w:bidi="ar-SA"/>
              </w:rPr>
              <w:t>Название подпроектов</w:t>
            </w:r>
          </w:p>
        </w:tc>
        <w:tc>
          <w:tcPr>
            <w:tcW w:w="1253" w:type="dxa"/>
            <w:tcBorders/>
            <w:textDirection w:val="btLr"/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Задачи</w:t>
            </w:r>
          </w:p>
        </w:tc>
        <w:tc>
          <w:tcPr>
            <w:tcW w:w="1253" w:type="dxa"/>
            <w:tcBorders/>
            <w:textDirection w:val="btLr"/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Планируемые результаты</w:t>
            </w:r>
          </w:p>
        </w:tc>
        <w:tc>
          <w:tcPr>
            <w:tcW w:w="1253" w:type="dxa"/>
            <w:tcBorders/>
            <w:textDirection w:val="btLr"/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Сроки реализации</w:t>
            </w:r>
          </w:p>
        </w:tc>
        <w:tc>
          <w:tcPr>
            <w:tcW w:w="1254" w:type="dxa"/>
            <w:tcBorders/>
            <w:textDirection w:val="btLr"/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Перечень мероприятий</w:t>
            </w:r>
          </w:p>
        </w:tc>
        <w:tc>
          <w:tcPr>
            <w:tcW w:w="1253" w:type="dxa"/>
            <w:tcBorders/>
            <w:textDirection w:val="btLr"/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Ресурсное обеспечение</w:t>
            </w:r>
          </w:p>
        </w:tc>
        <w:tc>
          <w:tcPr>
            <w:tcW w:w="1253" w:type="dxa"/>
            <w:tcBorders/>
            <w:textDirection w:val="btLr"/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Руководитель проектной группы</w:t>
            </w:r>
          </w:p>
        </w:tc>
        <w:tc>
          <w:tcPr>
            <w:tcW w:w="1253" w:type="dxa"/>
            <w:tcBorders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Целевые индикаторы результативности</w:t>
            </w:r>
          </w:p>
        </w:tc>
        <w:tc>
          <w:tcPr>
            <w:tcW w:w="1237" w:type="dxa"/>
            <w:tcBorders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Система оценки результатов и контроля реализации</w:t>
            </w:r>
          </w:p>
        </w:tc>
      </w:tr>
      <w:tr>
        <w:trPr/>
        <w:tc>
          <w:tcPr>
            <w:tcW w:w="1021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Знание</w:t>
            </w:r>
          </w:p>
        </w:tc>
        <w:tc>
          <w:tcPr>
            <w:tcW w:w="1255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3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1021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Воспитание</w:t>
            </w:r>
          </w:p>
        </w:tc>
        <w:tc>
          <w:tcPr>
            <w:tcW w:w="1255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3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1021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Здоровье</w:t>
            </w:r>
          </w:p>
        </w:tc>
        <w:tc>
          <w:tcPr>
            <w:tcW w:w="1255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3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1021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Творчество</w:t>
            </w:r>
          </w:p>
        </w:tc>
        <w:tc>
          <w:tcPr>
            <w:tcW w:w="1255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3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495" w:hRule="atLeast"/>
        </w:trPr>
        <w:tc>
          <w:tcPr>
            <w:tcW w:w="1021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Профориентация</w:t>
            </w:r>
          </w:p>
        </w:tc>
        <w:tc>
          <w:tcPr>
            <w:tcW w:w="1255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3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1021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Учитель. Школьная команда</w:t>
            </w:r>
          </w:p>
        </w:tc>
        <w:tc>
          <w:tcPr>
            <w:tcW w:w="1255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3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1021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7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Школьный климат</w:t>
            </w:r>
          </w:p>
        </w:tc>
        <w:tc>
          <w:tcPr>
            <w:tcW w:w="1255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3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1021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8</w:t>
            </w:r>
          </w:p>
        </w:tc>
        <w:tc>
          <w:tcPr>
            <w:tcW w:w="2849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Образовательная среда</w:t>
            </w:r>
          </w:p>
        </w:tc>
        <w:tc>
          <w:tcPr>
            <w:tcW w:w="1255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4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23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sectPr>
          <w:headerReference w:type="even" r:id="rId12"/>
          <w:headerReference w:type="default" r:id="rId13"/>
          <w:headerReference w:type="first" r:id="rId14"/>
          <w:footerReference w:type="default" r:id="rId15"/>
          <w:footerReference w:type="first" r:id="rId16"/>
          <w:type w:val="nextPage"/>
          <w:pgSz w:orient="landscape" w:w="16838" w:h="11906"/>
          <w:pgMar w:left="851" w:right="851" w:gutter="0" w:header="708" w:top="1134" w:footer="708" w:bottom="765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Normal"/>
        <w:widowControl w:val="false"/>
        <w:spacing w:lineRule="auto" w:line="276" w:before="0"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5. Ожидаемые результаты реализации Программы развития (повышение, сохранение уровня).</w:t>
      </w:r>
    </w:p>
    <w:p>
      <w:pPr>
        <w:sectPr>
          <w:headerReference w:type="default" r:id="rId17"/>
          <w:headerReference w:type="first" r:id="rId18"/>
          <w:footerReference w:type="default" r:id="rId19"/>
          <w:footerReference w:type="first" r:id="rId20"/>
          <w:type w:val="nextPage"/>
          <w:pgSz w:w="11906" w:h="16838"/>
          <w:pgMar w:left="1134" w:right="567" w:gutter="0" w:header="708" w:top="851" w:footer="708" w:bottom="851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widowControl w:val="false"/>
        <w:spacing w:lineRule="auto" w:line="276" w:before="0"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ListParagraph"/>
        <w:widowControl w:val="false"/>
        <w:numPr>
          <w:ilvl w:val="0"/>
          <w:numId w:val="19"/>
        </w:numPr>
        <w:spacing w:lineRule="auto" w:line="276" w:before="0" w:after="0"/>
        <w:ind w:firstLine="1069" w:left="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Механизмы реализации Программы развития.</w:t>
      </w:r>
    </w:p>
    <w:p>
      <w:pPr>
        <w:pStyle w:val="Normal"/>
        <w:widowControl w:val="false"/>
        <w:spacing w:lineRule="auto" w:line="276"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tbl>
      <w:tblPr>
        <w:tblStyle w:val="af0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80"/>
        <w:gridCol w:w="2660"/>
        <w:gridCol w:w="3479"/>
        <w:gridCol w:w="2455"/>
        <w:gridCol w:w="2662"/>
      </w:tblGrid>
      <w:tr>
        <w:trPr/>
        <w:tc>
          <w:tcPr>
            <w:tcW w:w="3880" w:type="dxa"/>
            <w:tcBorders/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8"/>
                <w:lang w:val="ru-RU" w:eastAsia="en-US" w:bidi="ar-SA"/>
              </w:rPr>
              <w:t>Наименование блока</w:t>
            </w:r>
          </w:p>
        </w:tc>
        <w:tc>
          <w:tcPr>
            <w:tcW w:w="2660" w:type="dxa"/>
            <w:tcBorders/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8"/>
                <w:lang w:val="ru-RU" w:eastAsia="en-US" w:bidi="ar-SA"/>
              </w:rPr>
              <w:t>Наименование ресурсов</w:t>
            </w:r>
          </w:p>
        </w:tc>
        <w:tc>
          <w:tcPr>
            <w:tcW w:w="3479" w:type="dxa"/>
            <w:tcBorders/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8"/>
                <w:lang w:val="ru-RU" w:eastAsia="en-US" w:bidi="ar-SA"/>
              </w:rPr>
              <w:t>Наличие (по факту): количество и характеристики</w:t>
            </w:r>
          </w:p>
        </w:tc>
        <w:tc>
          <w:tcPr>
            <w:tcW w:w="2455" w:type="dxa"/>
            <w:tcBorders/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8"/>
                <w:lang w:val="ru-RU" w:eastAsia="en-US" w:bidi="ar-SA"/>
              </w:rPr>
              <w:t>Требуемые ресурсы</w:t>
            </w:r>
          </w:p>
        </w:tc>
        <w:tc>
          <w:tcPr>
            <w:tcW w:w="2662" w:type="dxa"/>
            <w:tcBorders/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8"/>
                <w:lang w:val="ru-RU" w:eastAsia="en-US" w:bidi="ar-SA"/>
              </w:rPr>
              <w:t>Источники получения/</w:t>
            </w:r>
          </w:p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8"/>
                <w:lang w:val="ru-RU" w:eastAsia="en-US" w:bidi="ar-SA"/>
              </w:rPr>
              <w:t>приобретения</w:t>
            </w:r>
          </w:p>
        </w:tc>
      </w:tr>
      <w:tr>
        <w:trPr>
          <w:trHeight w:val="483" w:hRule="atLeast"/>
        </w:trPr>
        <w:tc>
          <w:tcPr>
            <w:tcW w:w="3880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pBdr/>
              <w:tabs>
                <w:tab w:val="clear" w:pos="708"/>
                <w:tab w:val="left" w:pos="283" w:leader="none"/>
              </w:tabs>
              <w:spacing w:lineRule="auto" w:line="276" w:before="0" w:after="0"/>
              <w:ind w:firstLine="25" w:left="0"/>
              <w:contextualSpacing w:val="false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8"/>
                <w:lang w:val="ru-RU" w:eastAsia="en-US" w:bidi="ar-SA"/>
              </w:rPr>
              <w:t>Нормативное правовое обеспечение (ЛНА)</w:t>
            </w:r>
          </w:p>
        </w:tc>
        <w:tc>
          <w:tcPr>
            <w:tcW w:w="2660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3479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455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3880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pBdr/>
              <w:tabs>
                <w:tab w:val="clear" w:pos="708"/>
                <w:tab w:val="left" w:pos="283" w:leader="none"/>
              </w:tabs>
              <w:spacing w:lineRule="auto" w:line="276" w:before="0" w:after="0"/>
              <w:ind w:firstLine="25" w:left="0"/>
              <w:contextualSpacing w:val="false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8"/>
                <w:lang w:val="ru-RU" w:eastAsia="en-US" w:bidi="ar-SA"/>
              </w:rPr>
              <w:t>Материально-техническое обеспечение</w:t>
            </w:r>
          </w:p>
        </w:tc>
        <w:tc>
          <w:tcPr>
            <w:tcW w:w="2660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3479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455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3880" w:type="dxa"/>
            <w:tcBorders/>
          </w:tcPr>
          <w:p>
            <w:pPr>
              <w:pStyle w:val="Normal"/>
              <w:widowControl w:val="false"/>
              <w:pBdr/>
              <w:tabs>
                <w:tab w:val="clear" w:pos="708"/>
                <w:tab w:val="left" w:pos="283" w:leader="none"/>
              </w:tabs>
              <w:spacing w:lineRule="auto" w:line="276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8"/>
                <w:lang w:val="ru-RU" w:eastAsia="en-US" w:bidi="ar-SA"/>
              </w:rPr>
              <w:t>3. Кадровые ресурсы</w:t>
            </w:r>
          </w:p>
        </w:tc>
        <w:tc>
          <w:tcPr>
            <w:tcW w:w="2660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3479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455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3880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8"/>
                <w:lang w:val="ru-RU" w:eastAsia="en-US" w:bidi="ar-SA"/>
              </w:rPr>
              <w:t>4. Финансовые ресурсы</w:t>
            </w:r>
          </w:p>
        </w:tc>
        <w:tc>
          <w:tcPr>
            <w:tcW w:w="2660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3479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455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3880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8"/>
                <w:lang w:val="ru-RU" w:eastAsia="en-US" w:bidi="ar-SA"/>
              </w:rPr>
              <w:t>5. Иное (при необходимости)</w:t>
            </w:r>
          </w:p>
        </w:tc>
        <w:tc>
          <w:tcPr>
            <w:tcW w:w="2660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3479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455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662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ind w:firstLine="25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</w:tr>
    </w:tbl>
    <w:p>
      <w:pPr>
        <w:pStyle w:val="Normal"/>
        <w:widowControl w:val="false"/>
        <w:spacing w:lineRule="auto" w:line="276"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sectPr>
          <w:headerReference w:type="default" r:id="rId21"/>
          <w:headerReference w:type="first" r:id="rId22"/>
          <w:footerReference w:type="default" r:id="rId23"/>
          <w:footerReference w:type="first" r:id="rId24"/>
          <w:type w:val="nextPage"/>
          <w:pgSz w:orient="landscape" w:w="16838" w:h="11906"/>
          <w:pgMar w:left="851" w:right="851" w:gutter="0" w:header="708" w:top="1134" w:footer="708" w:bottom="765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widowControl w:val="false"/>
        <w:spacing w:lineRule="auto" w:line="276" w:before="0"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 w:val="false"/>
        <w:spacing w:lineRule="auto" w:line="276" w:before="0"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7. Критерии и показатели оценки реализации Программы развития.</w:t>
      </w:r>
    </w:p>
    <w:p>
      <w:pPr>
        <w:pStyle w:val="Normal"/>
        <w:widowControl w:val="false"/>
        <w:pBdr/>
        <w:spacing w:lineRule="auto" w:line="276" w:before="0" w:after="0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tbl>
      <w:tblPr>
        <w:tblStyle w:val="af0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037"/>
        <w:gridCol w:w="3036"/>
        <w:gridCol w:w="4132"/>
      </w:tblGrid>
      <w:tr>
        <w:trPr/>
        <w:tc>
          <w:tcPr>
            <w:tcW w:w="3037" w:type="dxa"/>
            <w:tcBorders/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Задача</w:t>
            </w:r>
          </w:p>
        </w:tc>
        <w:tc>
          <w:tcPr>
            <w:tcW w:w="3036" w:type="dxa"/>
            <w:tcBorders/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Описание результата</w:t>
            </w:r>
          </w:p>
        </w:tc>
        <w:tc>
          <w:tcPr>
            <w:tcW w:w="4132" w:type="dxa"/>
            <w:tcBorders/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Количественные показатели</w:t>
            </w:r>
          </w:p>
        </w:tc>
      </w:tr>
      <w:tr>
        <w:trPr/>
        <w:tc>
          <w:tcPr>
            <w:tcW w:w="3037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132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sectPr>
          <w:headerReference w:type="default" r:id="rId25"/>
          <w:headerReference w:type="first" r:id="rId26"/>
          <w:footerReference w:type="default" r:id="rId27"/>
          <w:footerReference w:type="first" r:id="rId28"/>
          <w:type w:val="nextPage"/>
          <w:pgSz w:w="11906" w:h="16838"/>
          <w:pgMar w:left="1134" w:right="567" w:gutter="0" w:header="708" w:top="851" w:footer="708" w:bottom="851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widowControl w:val="false"/>
        <w:spacing w:lineRule="auto" w:line="276" w:before="0"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 w:val="false"/>
        <w:spacing w:lineRule="auto" w:line="276" w:before="0"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8. Дорожная карта реализации Программы развития. </w:t>
      </w:r>
    </w:p>
    <w:p>
      <w:pPr>
        <w:pStyle w:val="Normal"/>
        <w:widowControl w:val="false"/>
        <w:spacing w:lineRule="auto" w:line="276" w:before="0"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tbl>
      <w:tblPr>
        <w:tblStyle w:val="af0"/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54"/>
        <w:gridCol w:w="2049"/>
        <w:gridCol w:w="1847"/>
        <w:gridCol w:w="2255"/>
        <w:gridCol w:w="1829"/>
        <w:gridCol w:w="1995"/>
        <w:gridCol w:w="2306"/>
      </w:tblGrid>
      <w:tr>
        <w:trPr>
          <w:trHeight w:val="20" w:hRule="atLeast"/>
        </w:trPr>
        <w:tc>
          <w:tcPr>
            <w:tcW w:w="2854" w:type="dxa"/>
            <w:tcBorders/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Мероприятия</w:t>
            </w:r>
          </w:p>
        </w:tc>
        <w:tc>
          <w:tcPr>
            <w:tcW w:w="389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Срок реализации</w:t>
            </w:r>
          </w:p>
        </w:tc>
        <w:tc>
          <w:tcPr>
            <w:tcW w:w="408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Планируемый результат</w:t>
            </w:r>
          </w:p>
        </w:tc>
        <w:tc>
          <w:tcPr>
            <w:tcW w:w="1995" w:type="dxa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Исполнитель</w:t>
            </w:r>
          </w:p>
        </w:tc>
        <w:tc>
          <w:tcPr>
            <w:tcW w:w="2306" w:type="dxa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Ответственный</w:t>
            </w:r>
          </w:p>
        </w:tc>
      </w:tr>
      <w:tr>
        <w:trPr>
          <w:trHeight w:val="20" w:hRule="atLeast"/>
        </w:trPr>
        <w:tc>
          <w:tcPr>
            <w:tcW w:w="2854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kern w:val="0"/>
                <w:sz w:val="24"/>
                <w:szCs w:val="24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2049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kern w:val="0"/>
                <w:sz w:val="24"/>
                <w:szCs w:val="24"/>
                <w:lang w:val="ru-RU" w:eastAsia="en-US" w:bidi="ar-SA"/>
              </w:rPr>
              <w:t>плановая дата получения результата (дд.мм.гг)</w:t>
            </w:r>
          </w:p>
        </w:tc>
        <w:tc>
          <w:tcPr>
            <w:tcW w:w="1847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kern w:val="0"/>
                <w:sz w:val="24"/>
                <w:szCs w:val="24"/>
                <w:lang w:val="ru-RU" w:eastAsia="en-US" w:bidi="ar-SA"/>
              </w:rPr>
              <w:t>фактическая дата</w:t>
            </w:r>
          </w:p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kern w:val="0"/>
                <w:sz w:val="24"/>
                <w:szCs w:val="24"/>
                <w:lang w:val="ru-RU" w:eastAsia="en-US" w:bidi="ar-SA"/>
              </w:rPr>
              <w:t>(дд.мм.гг)</w:t>
            </w:r>
          </w:p>
        </w:tc>
        <w:tc>
          <w:tcPr>
            <w:tcW w:w="2255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kern w:val="0"/>
                <w:sz w:val="24"/>
                <w:szCs w:val="24"/>
                <w:lang w:val="ru-RU" w:eastAsia="en-US" w:bidi="ar-SA"/>
              </w:rPr>
              <w:t>измеримый индикатор (показатель)</w:t>
            </w:r>
          </w:p>
        </w:tc>
        <w:tc>
          <w:tcPr>
            <w:tcW w:w="1829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color w:val="000000"/>
                <w:kern w:val="0"/>
                <w:sz w:val="24"/>
                <w:szCs w:val="24"/>
                <w:lang w:val="ru-RU" w:eastAsia="en-US" w:bidi="ar-SA"/>
              </w:rPr>
              <w:t>наименование продукта</w:t>
            </w:r>
          </w:p>
        </w:tc>
        <w:tc>
          <w:tcPr>
            <w:tcW w:w="1995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30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>
          <w:trHeight w:val="20" w:hRule="atLeast"/>
        </w:trPr>
        <w:tc>
          <w:tcPr>
            <w:tcW w:w="10834" w:type="dxa"/>
            <w:gridSpan w:val="5"/>
            <w:tcBorders/>
            <w:vAlign w:val="center"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подпроект/задача</w:t>
            </w:r>
          </w:p>
        </w:tc>
        <w:tc>
          <w:tcPr>
            <w:tcW w:w="430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Должность и ФИО работника ОО, ответственного за выполнение задачи</w:t>
            </w:r>
          </w:p>
        </w:tc>
      </w:tr>
      <w:tr>
        <w:trPr>
          <w:trHeight w:val="20" w:hRule="atLeast"/>
        </w:trPr>
        <w:tc>
          <w:tcPr>
            <w:tcW w:w="2854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049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1847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255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1829" w:type="dxa"/>
            <w:tcBorders/>
          </w:tcPr>
          <w:p>
            <w:pPr>
              <w:pStyle w:val="Normal"/>
              <w:widowControl w:val="false"/>
              <w:pBdr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1995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230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r>
          </w:p>
        </w:tc>
      </w:tr>
    </w:tbl>
    <w:p>
      <w:pPr>
        <w:pStyle w:val="Normal"/>
        <w:widowControl w:val="false"/>
        <w:spacing w:lineRule="auto" w:line="276" w:before="0"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 w:val="false"/>
        <w:pBdr/>
        <w:spacing w:lineRule="auto" w:line="276" w:before="0" w:after="0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sectPr>
      <w:headerReference w:type="default" r:id="rId29"/>
      <w:headerReference w:type="first" r:id="rId30"/>
      <w:footerReference w:type="default" r:id="rId31"/>
      <w:footerReference w:type="first" r:id="rId32"/>
      <w:type w:val="nextPage"/>
      <w:pgSz w:orient="landscape" w:w="16838" w:h="11906"/>
      <w:pgMar w:left="851" w:right="851" w:gutter="0" w:header="708" w:top="1134" w:footer="708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  <w:font w:name="Symbol">
    <w:charset w:val="02"/>
    <w:family w:val="auto"/>
    <w:pitch w:val="default"/>
  </w:font>
  <w:font w:name="Verdana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518354312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518354312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518354312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518354312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9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518354312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14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518354312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518354312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208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518354312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518354312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209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518354312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518354312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210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518354312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518354312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211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518354312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212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91138479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91138479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91138479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91138479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91138479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212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·"/>
      <w:lvlJc w:val="left"/>
      <w:pPr>
        <w:tabs>
          <w:tab w:val="num" w:pos="0"/>
        </w:tabs>
        <w:ind w:left="0" w:hanging="20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/>
    </w:lvl>
  </w:abstractNum>
  <w:abstractNum w:abstractNumId="5">
    <w:lvl w:ilvl="0">
      <w:start w:val="8"/>
      <w:numFmt w:val="decimal"/>
      <w:lvlText w:val="%1."/>
      <w:lvlJc w:val="left"/>
      <w:pPr>
        <w:tabs>
          <w:tab w:val="num" w:pos="0"/>
        </w:tabs>
        <w:ind w:left="138" w:hanging="312"/>
      </w:pPr>
      <w:rPr>
        <w:sz w:val="24"/>
        <w:spacing w:val="-10"/>
        <w:szCs w:val="24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21" w:hanging="312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503" w:hanging="312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185" w:hanging="312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866" w:hanging="312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548" w:hanging="312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230" w:hanging="312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911" w:hanging="312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593" w:hanging="312"/>
      </w:pPr>
      <w:rPr>
        <w:rFonts w:ascii="Symbol" w:hAnsi="Symbol" w:cs="Symbol" w:hint="default"/>
        <w:lang w:val="ru-RU" w:eastAsia="en-US" w:bidi="ar-SA"/>
      </w:rPr>
    </w:lvl>
  </w:abstractNum>
  <w:abstractNum w:abstractNumId="6">
    <w:lvl w:ilvl="0">
      <w:start w:val="3"/>
      <w:numFmt w:val="decimal"/>
      <w:lvlText w:val="%1."/>
      <w:lvlJc w:val="left"/>
      <w:pPr>
        <w:tabs>
          <w:tab w:val="num" w:pos="0"/>
        </w:tabs>
        <w:ind w:left="138" w:hanging="264"/>
      </w:pPr>
      <w:rPr>
        <w:sz w:val="24"/>
        <w:szCs w:val="24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21" w:hanging="264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503" w:hanging="264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185" w:hanging="264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866" w:hanging="264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548" w:hanging="264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230" w:hanging="264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911" w:hanging="264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593" w:hanging="264"/>
      </w:pPr>
      <w:rPr>
        <w:rFonts w:ascii="Symbol" w:hAnsi="Symbol" w:cs="Symbol" w:hint="default"/>
        <w:lang w:val="ru-RU" w:eastAsia="en-US" w:bidi="ar-SA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138" w:hanging="451"/>
      </w:pPr>
      <w:rPr>
        <w:sz w:val="24"/>
        <w:spacing w:val="-30"/>
        <w:szCs w:val="24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21" w:hanging="451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503" w:hanging="451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185" w:hanging="451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866" w:hanging="451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548" w:hanging="451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230" w:hanging="451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911" w:hanging="451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593" w:hanging="451"/>
      </w:pPr>
      <w:rPr>
        <w:rFonts w:ascii="Symbol" w:hAnsi="Symbol" w:cs="Symbol" w:hint="default"/>
        <w:lang w:val="ru-RU" w:eastAsia="en-US" w:bidi="ar-SA"/>
      </w:rPr>
    </w:lvl>
  </w:abstractNum>
  <w:abstractNum w:abstractNumId="8">
    <w:lvl w:ilvl="0">
      <w:start w:val="12"/>
      <w:numFmt w:val="decimal"/>
      <w:lvlText w:val="%1."/>
      <w:lvlJc w:val="left"/>
      <w:pPr>
        <w:tabs>
          <w:tab w:val="num" w:pos="0"/>
        </w:tabs>
        <w:ind w:left="138" w:hanging="389"/>
      </w:pPr>
      <w:rPr>
        <w:sz w:val="24"/>
        <w:szCs w:val="24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21" w:hanging="389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503" w:hanging="389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185" w:hanging="389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866" w:hanging="389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548" w:hanging="389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230" w:hanging="389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911" w:hanging="389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593" w:hanging="389"/>
      </w:pPr>
      <w:rPr>
        <w:rFonts w:ascii="Symbol" w:hAnsi="Symbol" w:cs="Symbol" w:hint="default"/>
        <w:lang w:val="ru-RU" w:eastAsia="en-US" w:bidi="ar-SA"/>
      </w:rPr>
    </w:lvl>
  </w:abstractNum>
  <w:abstractNum w:abstractNumId="9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eastAsia="Calibri" w:cs="Arial" w:cstheme="minorBidi" w:eastAsiaTheme="minorHAnsi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eastAsia="Calibri" w:cs="Arial" w:cstheme="minorBidi" w:eastAsiaTheme="minorHAnsi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bullet"/>
      <w:lvlText w:val="-"/>
      <w:lvlJc w:val="left"/>
      <w:pPr>
        <w:tabs>
          <w:tab w:val="num" w:pos="0"/>
        </w:tabs>
        <w:ind w:left="858" w:hanging="360"/>
      </w:pPr>
      <w:rPr>
        <w:rFonts w:ascii="Verdana" w:hAnsi="Verdana" w:cs="Verdan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7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9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1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3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5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7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9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18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2"/>
    <w:lvlOverride w:ilvl="0">
      <w:startOverride w:val="1"/>
    </w:lvlOverride>
  </w:num>
  <w:num w:numId="17">
    <w:abstractNumId w:val="2"/>
    <w:lvlOverride w:ilvl="0">
      <w:startOverride w:val="1"/>
    </w:lvlOverride>
  </w:num>
  <w:num w:numId="18">
    <w:abstractNumId w:val="2"/>
  </w:num>
  <w:num w:numId="19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a219a"/>
    <w:pPr>
      <w:widowControl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fa219a"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a219a"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fa219a"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unhideWhenUsed/>
    <w:qFormat/>
    <w:rsid w:val="00fa219a"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rsid w:val="00fa219a"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6"/>
    <w:uiPriority w:val="9"/>
    <w:unhideWhenUsed/>
    <w:qFormat/>
    <w:rsid w:val="00fa219a"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Heading7">
    <w:name w:val="heading 7"/>
    <w:basedOn w:val="Normal"/>
    <w:next w:val="Normal"/>
    <w:link w:val="7"/>
    <w:uiPriority w:val="9"/>
    <w:unhideWhenUsed/>
    <w:qFormat/>
    <w:rsid w:val="00fa219a"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Heading8">
    <w:name w:val="heading 8"/>
    <w:basedOn w:val="Normal"/>
    <w:next w:val="Normal"/>
    <w:link w:val="8"/>
    <w:uiPriority w:val="9"/>
    <w:unhideWhenUsed/>
    <w:qFormat/>
    <w:rsid w:val="00fa219a"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Heading9">
    <w:name w:val="heading 9"/>
    <w:basedOn w:val="Normal"/>
    <w:next w:val="Normal"/>
    <w:link w:val="9"/>
    <w:uiPriority w:val="9"/>
    <w:unhideWhenUsed/>
    <w:qFormat/>
    <w:rsid w:val="00fa219a"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a219a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sid w:val="00fa219a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sid w:val="00fa219a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sid w:val="00fa219a"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sid w:val="00fa219a"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sid w:val="00fa219a"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sid w:val="00fa219a"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sid w:val="00fa219a"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sid w:val="00fa219a"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sid w:val="00fa219a"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sid w:val="00fa219a"/>
    <w:rPr>
      <w:sz w:val="24"/>
      <w:szCs w:val="24"/>
    </w:rPr>
  </w:style>
  <w:style w:type="character" w:styleId="QuoteChar" w:customStyle="1">
    <w:name w:val="Quote Char"/>
    <w:uiPriority w:val="29"/>
    <w:qFormat/>
    <w:rsid w:val="00fa219a"/>
    <w:rPr>
      <w:i/>
    </w:rPr>
  </w:style>
  <w:style w:type="character" w:styleId="IntenseQuoteChar" w:customStyle="1">
    <w:name w:val="Intense Quote Char"/>
    <w:uiPriority w:val="30"/>
    <w:qFormat/>
    <w:rsid w:val="00fa219a"/>
    <w:rPr>
      <w:i/>
    </w:rPr>
  </w:style>
  <w:style w:type="character" w:styleId="HeaderChar" w:customStyle="1">
    <w:name w:val="Header Char"/>
    <w:basedOn w:val="DefaultParagraphFont"/>
    <w:uiPriority w:val="99"/>
    <w:qFormat/>
    <w:rsid w:val="00fa219a"/>
    <w:rPr/>
  </w:style>
  <w:style w:type="character" w:styleId="CaptionChar" w:customStyle="1">
    <w:name w:val="Caption Char"/>
    <w:uiPriority w:val="99"/>
    <w:qFormat/>
    <w:rsid w:val="00fa219a"/>
    <w:rPr/>
  </w:style>
  <w:style w:type="character" w:styleId="FootnoteTextChar" w:customStyle="1">
    <w:name w:val="Footnote Text Char"/>
    <w:uiPriority w:val="99"/>
    <w:qFormat/>
    <w:rsid w:val="00fa219a"/>
    <w:rPr>
      <w:sz w:val="18"/>
    </w:rPr>
  </w:style>
  <w:style w:type="character" w:styleId="EndnoteTextChar" w:customStyle="1">
    <w:name w:val="Endnote Text Char"/>
    <w:uiPriority w:val="99"/>
    <w:qFormat/>
    <w:rsid w:val="00fa219a"/>
    <w:rPr>
      <w:sz w:val="20"/>
    </w:rPr>
  </w:style>
  <w:style w:type="character" w:styleId="1" w:customStyle="1">
    <w:name w:val="Заголовок 1 Знак"/>
    <w:basedOn w:val="DefaultParagraphFont"/>
    <w:uiPriority w:val="9"/>
    <w:qFormat/>
    <w:rsid w:val="00fa219a"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sid w:val="00fa219a"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uiPriority w:val="9"/>
    <w:qFormat/>
    <w:rsid w:val="00fa219a"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sid w:val="00fa219a"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sid w:val="00fa219a"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sid w:val="00fa219a"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sid w:val="00fa219a"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sid w:val="00fa219a"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sid w:val="00fa219a"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sid w:val="00fa219a"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sid w:val="00fa219a"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sid w:val="00fa219a"/>
    <w:rPr>
      <w:i/>
    </w:rPr>
  </w:style>
  <w:style w:type="character" w:styleId="Style7" w:customStyle="1">
    <w:name w:val="Выделенная цитата Знак"/>
    <w:link w:val="IntenseQuote"/>
    <w:uiPriority w:val="30"/>
    <w:qFormat/>
    <w:rsid w:val="00fa219a"/>
    <w:rPr>
      <w:i/>
    </w:rPr>
  </w:style>
  <w:style w:type="character" w:styleId="Style8" w:customStyle="1">
    <w:name w:val="Верхний колонтитул Знак"/>
    <w:basedOn w:val="DefaultParagraphFont"/>
    <w:uiPriority w:val="99"/>
    <w:qFormat/>
    <w:rsid w:val="00fa219a"/>
    <w:rPr/>
  </w:style>
  <w:style w:type="character" w:styleId="FooterChar" w:customStyle="1">
    <w:name w:val="Footer Char"/>
    <w:basedOn w:val="DefaultParagraphFont"/>
    <w:uiPriority w:val="99"/>
    <w:qFormat/>
    <w:rsid w:val="00fa219a"/>
    <w:rPr/>
  </w:style>
  <w:style w:type="character" w:styleId="Style9" w:customStyle="1">
    <w:name w:val="Нижний колонтитул Знак"/>
    <w:uiPriority w:val="99"/>
    <w:qFormat/>
    <w:rsid w:val="00fa219a"/>
    <w:rPr/>
  </w:style>
  <w:style w:type="character" w:styleId="Hyperlink">
    <w:name w:val="Hyperlink"/>
    <w:uiPriority w:val="99"/>
    <w:unhideWhenUsed/>
    <w:rsid w:val="00fa219a"/>
    <w:rPr>
      <w:color w:themeColor="hyperlink" w:val="0563C1"/>
      <w:u w:val="single"/>
    </w:rPr>
  </w:style>
  <w:style w:type="character" w:styleId="Style10" w:customStyle="1">
    <w:name w:val="Текст сноски Знак"/>
    <w:uiPriority w:val="99"/>
    <w:qFormat/>
    <w:rsid w:val="00fa219a"/>
    <w:rPr>
      <w:sz w:val="18"/>
    </w:rPr>
  </w:style>
  <w:style w:type="character" w:styleId="Style11">
    <w:name w:val="Символ сноски"/>
    <w:basedOn w:val="DefaultParagraphFont"/>
    <w:uiPriority w:val="99"/>
    <w:unhideWhenUsed/>
    <w:qFormat/>
    <w:rsid w:val="00fa219a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uiPriority w:val="99"/>
    <w:qFormat/>
    <w:rsid w:val="00fa219a"/>
    <w:rPr>
      <w:sz w:val="20"/>
    </w:rPr>
  </w:style>
  <w:style w:type="character" w:styleId="Style13">
    <w:name w:val="Символ концевой сноски"/>
    <w:basedOn w:val="DefaultParagraphFont"/>
    <w:uiPriority w:val="99"/>
    <w:semiHidden/>
    <w:unhideWhenUsed/>
    <w:qFormat/>
    <w:rsid w:val="00fa219a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fa219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2120be"/>
    <w:rPr>
      <w:sz w:val="16"/>
      <w:szCs w:val="16"/>
    </w:rPr>
  </w:style>
  <w:style w:type="character" w:styleId="Style15" w:customStyle="1">
    <w:name w:val="Текст примечания Знак"/>
    <w:basedOn w:val="DefaultParagraphFont"/>
    <w:uiPriority w:val="99"/>
    <w:semiHidden/>
    <w:qFormat/>
    <w:rsid w:val="002120be"/>
    <w:rPr>
      <w:sz w:val="20"/>
      <w:szCs w:val="20"/>
    </w:rPr>
  </w:style>
  <w:style w:type="character" w:styleId="Style16" w:customStyle="1">
    <w:name w:val="Тема примечания Знак"/>
    <w:basedOn w:val="Style15"/>
    <w:link w:val="annotationsubject"/>
    <w:uiPriority w:val="99"/>
    <w:semiHidden/>
    <w:qFormat/>
    <w:rsid w:val="002120be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7c7516"/>
    <w:rPr>
      <w:b/>
      <w:bCs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a219a"/>
    <w:pPr>
      <w:spacing w:lineRule="auto" w:line="276"/>
    </w:pPr>
    <w:rPr>
      <w:b/>
      <w:bCs/>
      <w:color w:themeColor="accent1" w:val="5B9BD5"/>
      <w:sz w:val="18"/>
      <w:szCs w:val="18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rsid w:val="00fa219a"/>
    <w:pPr>
      <w:spacing w:before="0" w:after="160"/>
      <w:ind w:left="720"/>
      <w:contextualSpacing/>
    </w:pPr>
    <w:rPr/>
  </w:style>
  <w:style w:type="paragraph" w:styleId="NoSpacing">
    <w:name w:val="No Spacing"/>
    <w:uiPriority w:val="1"/>
    <w:qFormat/>
    <w:rsid w:val="00fa219a"/>
    <w:pPr>
      <w:widowControl/>
      <w:bidi w:val="0"/>
      <w:spacing w:lineRule="auto" w:line="240"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next w:val="Normal"/>
    <w:link w:val="Style5"/>
    <w:uiPriority w:val="10"/>
    <w:qFormat/>
    <w:rsid w:val="00fa219a"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tyle6"/>
    <w:uiPriority w:val="11"/>
    <w:qFormat/>
    <w:rsid w:val="00fa219a"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fa219a"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rsid w:val="00fa219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rsid w:val="00fa219a"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9"/>
    <w:uiPriority w:val="99"/>
    <w:unhideWhenUsed/>
    <w:rsid w:val="00fa219a"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rsid w:val="00fa219a"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Style12"/>
    <w:uiPriority w:val="99"/>
    <w:semiHidden/>
    <w:unhideWhenUsed/>
    <w:rsid w:val="00fa219a"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rsid w:val="00fa219a"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rsid w:val="00fa219a"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39"/>
    <w:unhideWhenUsed/>
    <w:rsid w:val="00fa219a"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rsid w:val="00fa219a"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rsid w:val="00fa219a"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rsid w:val="00fa219a"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rsid w:val="00fa219a"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rsid w:val="00fa219a"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rsid w:val="00fa219a"/>
    <w:pPr>
      <w:spacing w:before="0" w:after="57"/>
      <w:ind w:left="2268"/>
    </w:pPr>
    <w:rPr/>
  </w:style>
  <w:style w:type="paragraph" w:styleId="IndexHeading">
    <w:name w:val="index heading"/>
    <w:basedOn w:val="Style17"/>
    <w:pPr/>
    <w:rPr/>
  </w:style>
  <w:style w:type="paragraph" w:styleId="TOCHeading">
    <w:name w:val="TOC Heading"/>
    <w:uiPriority w:val="39"/>
    <w:unhideWhenUsed/>
    <w:qFormat/>
    <w:rsid w:val="00fa219a"/>
    <w:pPr>
      <w:widowControl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rsid w:val="00fa219a"/>
    <w:pPr>
      <w:spacing w:before="0" w:after="0"/>
    </w:pPr>
    <w:rPr/>
  </w:style>
  <w:style w:type="paragraph" w:styleId="ConsPlusNormal" w:customStyle="1">
    <w:name w:val="ConsPlusNormal"/>
    <w:qFormat/>
    <w:rsid w:val="00fa219a"/>
    <w:pPr>
      <w:widowControl w:val="false"/>
      <w:bidi w:val="0"/>
      <w:spacing w:lineRule="auto" w:line="240" w:before="0" w:after="0"/>
      <w:jc w:val="left"/>
    </w:pPr>
    <w:rPr>
      <w:rFonts w:ascii="Calibri" w:hAnsi="Calibri" w:eastAsia="Arial" w:cs="Calibri" w:eastAsiaTheme="minorEastAsia"/>
      <w:color w:val="auto"/>
      <w:kern w:val="0"/>
      <w:sz w:val="22"/>
      <w:szCs w:val="22"/>
      <w:lang w:eastAsia="ru-RU" w:val="ru-RU" w:bidi="ar-S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fa219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Default" w:customStyle="1">
    <w:name w:val="Default"/>
    <w:qFormat/>
    <w:rsid w:val="00fa219a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ru-RU" w:eastAsia="en-US" w:bidi="ar-SA"/>
    </w:rPr>
  </w:style>
  <w:style w:type="paragraph" w:styleId="CommentText">
    <w:name w:val="annotation text"/>
    <w:basedOn w:val="Normal"/>
    <w:link w:val="Style15"/>
    <w:uiPriority w:val="99"/>
    <w:semiHidden/>
    <w:unhideWhenUsed/>
    <w:rsid w:val="002120be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6"/>
    <w:uiPriority w:val="99"/>
    <w:semiHidden/>
    <w:unhideWhenUsed/>
    <w:qFormat/>
    <w:rsid w:val="002120be"/>
    <w:pPr/>
    <w:rPr>
      <w:b/>
      <w:bCs/>
    </w:rPr>
  </w:style>
  <w:style w:type="paragraph" w:styleId="TableParagraph" w:customStyle="1">
    <w:name w:val="Table Paragraph"/>
    <w:basedOn w:val="Normal"/>
    <w:uiPriority w:val="1"/>
    <w:qFormat/>
    <w:rsid w:val="00f51fb2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</w:rPr>
  </w:style>
  <w:style w:type="paragraph" w:styleId="Style20">
    <w:name w:val="Содержимое врезки"/>
    <w:basedOn w:val="Normal"/>
    <w:qFormat/>
    <w:pPr/>
    <w:rPr/>
  </w:style>
  <w:style w:type="paragraph" w:styleId="Style21">
    <w:name w:val="Верхний колонтитул слева"/>
    <w:basedOn w:val="Header"/>
    <w:qFormat/>
    <w:pPr/>
    <w:rPr/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rsid w:val="00fa219a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fa219a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a219a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fa219a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PlainTable3">
    <w:name w:val="Plain Table 3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EC4E6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F4B28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CACACA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FFDA6A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1ACDC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AAD190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customStyle="1" w:styleId="GridTable2">
    <w:name w:val="Grid Table 2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8A2D8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8A2D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a219a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a219a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68A2D8" w:themeColor="accent1" w:sz="4" w:space="0"/>
          <w:left w:val="single" w:color="68A2D8" w:themeColor="accent1" w:sz="4" w:space="0"/>
          <w:bottom w:val="single" w:color="68A2D8" w:themeColor="accent1" w:sz="4" w:space="0"/>
          <w:right w:val="single" w:color="68A2D8" w:themeColor="accent1" w:sz="4" w:space="0"/>
        </w:tcBorders>
        <w:shd w:val="clear" w:color="68A2D8" w:fill="68A2D8" w:themeFill="accent1" w:themeFillTint="ea"/>
      </w:tcPr>
    </w:tblStylePr>
    <w:tblStylePr w:type="lastRow">
      <w:rPr>
        <w:b/>
      </w:rPr>
      <w:tblPr/>
      <w:tcPr>
        <w:tcBorders>
          <w:top w:val="single" w:color="68A2D8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a219a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a219a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a219a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a219a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a219a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1"/>
      </w:tcPr>
    </w:tblStylePr>
    <w:tblStylePr w:type="firstCol">
      <w:rPr>
        <w:b/>
        <w:sz w:val="22"/>
      </w:rPr>
      <w:tblPr/>
      <w:tcPr>
        <w:shd w:val="clear" w:color="5B9BD5" w:fill="5B9BD5" w:themeFill="accent1"/>
      </w:tcPr>
    </w:tblStylePr>
    <w:tblStylePr w:type="lastCol">
      <w:rPr>
        <w:b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5"/>
      </w:tcPr>
    </w:tblStylePr>
    <w:tblStylePr w:type="firstCol">
      <w:rPr>
        <w:b/>
        <w:sz w:val="22"/>
      </w:rPr>
      <w:tblPr/>
      <w:tcPr>
        <w:shd w:val="clear" w:color="4472C4" w:fill="4472C4" w:themeFill="accent5"/>
      </w:tcPr>
    </w:tblStylePr>
    <w:tblStylePr w:type="lastCol">
      <w:rPr>
        <w:b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ACCCEA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">
    <w:name w:val="Grid Table 7 Colorful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CCCEA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CCCEA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ACCCEA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95AFDD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ADD394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ListTable1Light">
    <w:name w:val="List Table 1 Light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8DA9DB" w:themeColor="accent5" w:sz="4" w:space="0"/>
          <w:right w:val="single" w:color="8DA9DB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8DA9DB" w:themeColor="accent5" w:sz="4" w:space="0"/>
          <w:bottom w:val="single" w:color="8DA9DB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</w:style>
  <w:style w:type="table" w:customStyle="1" w:styleId="ListTable4">
    <w:name w:val="List Table 4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4B184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FD865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8DA9DB" w:themeColor="accent5" w:sz="32" w:space="0"/>
          <w:bottom w:val="single" w:color="FFFFFF" w:themeColor="light1" w:sz="12" w:space="0"/>
        </w:tcBorders>
        <w:shd w:val="clear" w:color="8DA9DB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8DA9DB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DA9DB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F4B184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C9C9C9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9C9C9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FFD865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8DA9DB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8DA9DB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A9D08E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A9D08E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stTable7Colorful">
    <w:name w:val="List Table 7 Colorful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9C9C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9C9C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C9C9C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8DA9DB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8DA9DB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8DA9DB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9D08E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A9D08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A9D08E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sid w:val="00fa219a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a219a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a219a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a219a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a219a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a219a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a219a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a219a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a219a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245A8D" w:themeColor="accent1" w:sz="4" w:space="0"/>
        <w:left w:val="single" w:color="245A8D" w:themeColor="accent1" w:sz="4" w:space="0"/>
        <w:bottom w:val="single" w:color="245A8D" w:themeColor="accent1" w:sz="4" w:space="0"/>
        <w:right w:val="single" w:color="245A8D" w:themeColor="accent1" w:sz="4" w:space="0"/>
        <w:insideH w:val="single" w:color="245A8D" w:themeColor="accent1" w:sz="4" w:space="0"/>
        <w:insideV w:val="single" w:color="245A8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a219a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a219a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a219a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a219a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254175" w:themeColor="accent5" w:sz="4" w:space="0"/>
        <w:left w:val="single" w:color="254175" w:themeColor="accent5" w:sz="4" w:space="0"/>
        <w:bottom w:val="single" w:color="254175" w:themeColor="accent5" w:sz="4" w:space="0"/>
        <w:right w:val="single" w:color="254175" w:themeColor="accent5" w:sz="4" w:space="0"/>
        <w:insideH w:val="single" w:color="254175" w:themeColor="accent5" w:sz="4" w:space="0"/>
        <w:insideV w:val="single" w:color="254175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a219a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F4B184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4B184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9C9C9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D865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D865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8DA9DB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8DA9DB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8DA9DB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rsid w:val="00fa219a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A9D08E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customStyle="1" w:styleId="12">
    <w:name w:val="Сетка таблицы1"/>
    <w:basedOn w:val="a1"/>
    <w:uiPriority w:val="59"/>
    <w:unhideWhenUsed/>
    <w:rsid w:val="00fa219a"/>
    <w:pPr>
      <w:spacing w:after="0" w:line="240" w:lineRule="auto"/>
    </w:pPr>
    <w:rPr>
      <w:lang w:val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uiPriority w:val="39"/>
    <w:rsid w:val="00e1645c"/>
    <w:pPr>
      <w:spacing w:after="0" w:line="240" w:lineRule="auto"/>
    </w:pPr>
    <w:rPr>
      <w:lang w:eastAsia="zh-C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hyperlink" Target="mailto:e.m.smirnova@max-school.ru" TargetMode="Externa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header" Target="header3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header" Target="header4.xml"/><Relationship Id="rId18" Type="http://schemas.openxmlformats.org/officeDocument/2006/relationships/header" Target="header5.xml"/><Relationship Id="rId19" Type="http://schemas.openxmlformats.org/officeDocument/2006/relationships/footer" Target="footer12.xml"/><Relationship Id="rId20" Type="http://schemas.openxmlformats.org/officeDocument/2006/relationships/footer" Target="footer13.xml"/><Relationship Id="rId21" Type="http://schemas.openxmlformats.org/officeDocument/2006/relationships/header" Target="header6.xml"/><Relationship Id="rId22" Type="http://schemas.openxmlformats.org/officeDocument/2006/relationships/header" Target="header7.xml"/><Relationship Id="rId23" Type="http://schemas.openxmlformats.org/officeDocument/2006/relationships/footer" Target="footer14.xml"/><Relationship Id="rId24" Type="http://schemas.openxmlformats.org/officeDocument/2006/relationships/footer" Target="footer15.xml"/><Relationship Id="rId25" Type="http://schemas.openxmlformats.org/officeDocument/2006/relationships/header" Target="header8.xml"/><Relationship Id="rId26" Type="http://schemas.openxmlformats.org/officeDocument/2006/relationships/header" Target="header9.xml"/><Relationship Id="rId27" Type="http://schemas.openxmlformats.org/officeDocument/2006/relationships/footer" Target="footer16.xml"/><Relationship Id="rId28" Type="http://schemas.openxmlformats.org/officeDocument/2006/relationships/footer" Target="footer17.xml"/><Relationship Id="rId29" Type="http://schemas.openxmlformats.org/officeDocument/2006/relationships/header" Target="header10.xml"/><Relationship Id="rId30" Type="http://schemas.openxmlformats.org/officeDocument/2006/relationships/header" Target="header11.xml"/><Relationship Id="rId31" Type="http://schemas.openxmlformats.org/officeDocument/2006/relationships/footer" Target="footer18.xml"/><Relationship Id="rId32" Type="http://schemas.openxmlformats.org/officeDocument/2006/relationships/footer" Target="footer19.xml"/><Relationship Id="rId33" Type="http://schemas.openxmlformats.org/officeDocument/2006/relationships/numbering" Target="numbering.xml"/><Relationship Id="rId34" Type="http://schemas.openxmlformats.org/officeDocument/2006/relationships/fontTable" Target="fontTable.xml"/><Relationship Id="rId35" Type="http://schemas.openxmlformats.org/officeDocument/2006/relationships/settings" Target="settings.xml"/><Relationship Id="rId36" Type="http://schemas.openxmlformats.org/officeDocument/2006/relationships/theme" Target="theme/theme1.xml"/><Relationship Id="rId3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5D8A5-F745-4F32-AFF3-AE2E96B53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Application>LibreOffice/25.2.6.2$Windows_X86_64 LibreOffice_project/729c5bfe710f5eb71ed3bbde9e06a6065e9c6c5d</Application>
  <AppVersion>15.0000</AppVersion>
  <Pages>212</Pages>
  <Words>20792</Words>
  <Characters>174031</Characters>
  <CharactersWithSpaces>192461</CharactersWithSpaces>
  <Paragraphs>2032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2023-09-04T14:53:00Z</dcterms:created>
  <dc:creator>Марина Владимировна Кислицина</dc:creator>
  <dc:description/>
  <dc:language>ru-RU</dc:language>
  <cp:lastModifiedBy/>
  <cp:lastPrinted>2023-08-02T05:33:00Z</cp:lastPrinted>
  <dcterms:modified xsi:type="dcterms:W3CDTF">2025-10-28T12:56:54Z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